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60B" w:rsidRDefault="00844DC3" w:rsidP="00D816EF">
      <w:pPr>
        <w:jc w:val="right"/>
        <w:rPr>
          <w:lang w:val="en-GB"/>
        </w:rPr>
      </w:pPr>
      <w:bookmarkStart w:id="0" w:name="_Toc311197386"/>
      <w:bookmarkStart w:id="1" w:name="_GoBack"/>
      <w:r>
        <w:rPr>
          <w:lang w:val="en-GB"/>
        </w:rPr>
        <w:t>FM50_12_032 Annex 6</w:t>
      </w:r>
      <w:bookmarkEnd w:id="1"/>
    </w:p>
    <w:p w:rsidR="00D816EF" w:rsidRDefault="00D816EF" w:rsidP="00D816EF">
      <w:pPr>
        <w:jc w:val="right"/>
        <w:rPr>
          <w:lang w:val="en-GB"/>
        </w:rPr>
      </w:pPr>
    </w:p>
    <w:p w:rsidR="00C5160B" w:rsidRDefault="00C5160B" w:rsidP="00C5160B">
      <w:pPr>
        <w:jc w:val="center"/>
        <w:rPr>
          <w:lang w:val="en-GB"/>
        </w:rPr>
      </w:pPr>
      <w:r>
        <w:rPr>
          <w:lang w:val="en-GB"/>
        </w:rPr>
        <w:t>Section 4, Criteria 1</w:t>
      </w:r>
    </w:p>
    <w:p w:rsidR="00C5160B" w:rsidRDefault="00C5160B" w:rsidP="00C5160B">
      <w:pPr>
        <w:rPr>
          <w:lang w:val="en-GB"/>
        </w:rPr>
      </w:pPr>
    </w:p>
    <w:p w:rsidR="00C5160B" w:rsidRDefault="00A35309" w:rsidP="00C5160B">
      <w:pPr>
        <w:rPr>
          <w:lang w:val="en-GB"/>
        </w:rPr>
      </w:pPr>
      <w:r>
        <w:rPr>
          <w:lang w:val="en-GB"/>
        </w:rPr>
        <w:t>Introductory text:</w:t>
      </w:r>
    </w:p>
    <w:p w:rsidR="00A35309" w:rsidRDefault="00A35309" w:rsidP="00C5160B">
      <w:pPr>
        <w:rPr>
          <w:lang w:val="en-GB"/>
        </w:rPr>
      </w:pPr>
    </w:p>
    <w:p w:rsidR="005F4AC2" w:rsidRDefault="005F4AC2" w:rsidP="00C5160B">
      <w:pPr>
        <w:rPr>
          <w:lang w:val="en-GB"/>
        </w:rPr>
      </w:pPr>
      <w:r>
        <w:rPr>
          <w:lang w:val="en-GB"/>
        </w:rPr>
        <w:t>Radio Regulations compliance:</w:t>
      </w:r>
    </w:p>
    <w:p w:rsidR="000A7F63" w:rsidRDefault="000A7F63" w:rsidP="00C5160B">
      <w:pPr>
        <w:rPr>
          <w:rFonts w:cs="Arial"/>
        </w:rPr>
      </w:pPr>
    </w:p>
    <w:p w:rsidR="000A7F63" w:rsidRDefault="001A59AD" w:rsidP="00C5160B">
      <w:pPr>
        <w:rPr>
          <w:rFonts w:cs="Arial"/>
        </w:rPr>
      </w:pPr>
      <w:r>
        <w:rPr>
          <w:rFonts w:cs="Arial"/>
        </w:rPr>
        <w:t>In the context of this IA, c</w:t>
      </w:r>
      <w:r w:rsidR="000A7F63">
        <w:rPr>
          <w:rFonts w:cs="Arial"/>
        </w:rPr>
        <w:t>ompliance with the Radio Regulations is understood to be compliance with Article No.5 of the RR (including footnotes, as applicable</w:t>
      </w:r>
      <w:r w:rsidR="000A7F63" w:rsidRPr="000C290E">
        <w:rPr>
          <w:rFonts w:cs="Arial"/>
        </w:rPr>
        <w:t>).</w:t>
      </w:r>
      <w:r w:rsidR="000A7F63">
        <w:rPr>
          <w:rFonts w:cs="Arial"/>
        </w:rPr>
        <w:t xml:space="preserve"> </w:t>
      </w:r>
      <w:r w:rsidRPr="000C290E">
        <w:rPr>
          <w:rFonts w:cs="Arial"/>
        </w:rPr>
        <w:t xml:space="preserve">This is without prejudice to </w:t>
      </w:r>
      <w:r>
        <w:rPr>
          <w:rFonts w:cs="Arial"/>
        </w:rPr>
        <w:t>Article No.4.4</w:t>
      </w:r>
      <w:r>
        <w:rPr>
          <w:rStyle w:val="Appelnotedebasdep"/>
          <w:rFonts w:cs="Arial"/>
        </w:rPr>
        <w:footnoteReference w:id="1"/>
      </w:r>
      <w:r>
        <w:rPr>
          <w:rFonts w:cs="Arial"/>
        </w:rPr>
        <w:t xml:space="preserve"> of the RR.</w:t>
      </w:r>
    </w:p>
    <w:p w:rsidR="005F4AC2" w:rsidRDefault="005F4AC2" w:rsidP="00C5160B">
      <w:pPr>
        <w:rPr>
          <w:lang w:val="en-GB"/>
        </w:rPr>
      </w:pPr>
    </w:p>
    <w:p w:rsidR="00C5160B" w:rsidRPr="00E73A5D" w:rsidRDefault="00C5160B" w:rsidP="00C5160B">
      <w:pPr>
        <w:rPr>
          <w:szCs w:val="20"/>
          <w:lang w:val="en-GB"/>
        </w:rPr>
      </w:pPr>
      <w:r w:rsidRPr="00E73A5D">
        <w:rPr>
          <w:szCs w:val="20"/>
          <w:lang w:val="en-GB"/>
        </w:rPr>
        <w:t xml:space="preserve">There are three areas where an application can be compatible with the </w:t>
      </w:r>
      <w:r w:rsidR="001A59AD">
        <w:rPr>
          <w:szCs w:val="20"/>
          <w:lang w:val="en-GB"/>
        </w:rPr>
        <w:t xml:space="preserve">MA02revCO07 </w:t>
      </w:r>
      <w:r w:rsidRPr="00E73A5D">
        <w:rPr>
          <w:szCs w:val="20"/>
          <w:lang w:val="en-GB"/>
        </w:rPr>
        <w:t>special arrangement:</w:t>
      </w:r>
    </w:p>
    <w:p w:rsidR="005A3D50" w:rsidRPr="00E73A5D" w:rsidRDefault="005A3D50" w:rsidP="00C5160B">
      <w:pPr>
        <w:rPr>
          <w:szCs w:val="20"/>
          <w:lang w:val="en-GB"/>
        </w:rPr>
      </w:pPr>
    </w:p>
    <w:p w:rsidR="00C5160B" w:rsidRPr="00E73A5D" w:rsidRDefault="00C5160B" w:rsidP="00C5160B">
      <w:pPr>
        <w:rPr>
          <w:szCs w:val="20"/>
          <w:lang w:val="en-GB"/>
        </w:rPr>
      </w:pPr>
      <w:r w:rsidRPr="00E73A5D">
        <w:rPr>
          <w:szCs w:val="20"/>
          <w:lang w:val="en-GB"/>
        </w:rPr>
        <w:t>1. Use of the current Plan (annex I contains the Plan as of 2007) designed for T-DAB.  Applications other than terrestrial broadcasting using technologies with 1.7 MHz carrier bandwidth have little use of the Plan.</w:t>
      </w:r>
    </w:p>
    <w:p w:rsidR="00C5160B" w:rsidRPr="00E73A5D" w:rsidRDefault="00C5160B" w:rsidP="00C5160B">
      <w:pPr>
        <w:rPr>
          <w:szCs w:val="20"/>
          <w:lang w:val="en-GB"/>
        </w:rPr>
      </w:pPr>
    </w:p>
    <w:p w:rsidR="00C5160B" w:rsidRPr="00E73A5D" w:rsidRDefault="00C5160B" w:rsidP="00C5160B">
      <w:pPr>
        <w:rPr>
          <w:szCs w:val="20"/>
          <w:lang w:val="en-GB"/>
        </w:rPr>
      </w:pPr>
      <w:r w:rsidRPr="00E73A5D">
        <w:rPr>
          <w:szCs w:val="20"/>
          <w:lang w:val="en-GB"/>
        </w:rPr>
        <w:t xml:space="preserve">2. Use of the Annex II frequency arrangement </w:t>
      </w:r>
      <w:r w:rsidR="009C7EAC">
        <w:rPr>
          <w:szCs w:val="20"/>
          <w:lang w:val="en-GB"/>
        </w:rPr>
        <w:t xml:space="preserve">(envelope concept) </w:t>
      </w:r>
      <w:r w:rsidRPr="00E73A5D">
        <w:rPr>
          <w:szCs w:val="20"/>
          <w:lang w:val="en-GB"/>
        </w:rPr>
        <w:t xml:space="preserve">and the procedures to aggregate channels of 1.7 MHz (see table 2 of Annex II): all terrestrial applications with fixed transmitters </w:t>
      </w:r>
      <w:r w:rsidR="009C7EAC">
        <w:rPr>
          <w:szCs w:val="20"/>
          <w:lang w:val="en-GB"/>
        </w:rPr>
        <w:t>or</w:t>
      </w:r>
      <w:r w:rsidRPr="00E73A5D">
        <w:rPr>
          <w:szCs w:val="20"/>
          <w:lang w:val="en-GB"/>
        </w:rPr>
        <w:t xml:space="preserve"> any station of any other </w:t>
      </w:r>
      <w:proofErr w:type="spellStart"/>
      <w:r w:rsidRPr="00E73A5D">
        <w:rPr>
          <w:szCs w:val="20"/>
          <w:lang w:val="en-GB"/>
        </w:rPr>
        <w:t>radiocommunication</w:t>
      </w:r>
      <w:proofErr w:type="spellEnd"/>
      <w:r w:rsidRPr="00E73A5D">
        <w:rPr>
          <w:szCs w:val="20"/>
          <w:lang w:val="en-GB"/>
        </w:rPr>
        <w:t xml:space="preserve"> service may use those procedures to aggregate 1.7 MHz contiguous channels to enable wider bandwidths (5 MHz, 10 MHz, etc.). The emissions masks proposed may need to be revised. However, if the whole band 1452-1492 MHz is proposed for harmonisation for technologies using carriers of (a multiple of) 5 MHz, a new channelling arrangement across the 40 MHz would need to be developed to enable the use of the band efficiently in its entirety. </w:t>
      </w:r>
    </w:p>
    <w:p w:rsidR="00C5160B" w:rsidRPr="00E73A5D" w:rsidRDefault="00C5160B" w:rsidP="00C5160B">
      <w:pPr>
        <w:rPr>
          <w:szCs w:val="20"/>
          <w:lang w:val="en-GB"/>
        </w:rPr>
      </w:pPr>
    </w:p>
    <w:p w:rsidR="005620EC" w:rsidRPr="000C290E" w:rsidRDefault="00C5160B" w:rsidP="00220553">
      <w:pPr>
        <w:rPr>
          <w:szCs w:val="20"/>
          <w:lang w:val="en-GB"/>
        </w:rPr>
      </w:pPr>
      <w:r w:rsidRPr="000C290E">
        <w:rPr>
          <w:szCs w:val="20"/>
          <w:lang w:val="en-GB"/>
        </w:rPr>
        <w:t>3. Use of Annex II for cross border coordination</w:t>
      </w:r>
      <w:r w:rsidR="009C7EAC" w:rsidRPr="000C290E">
        <w:rPr>
          <w:szCs w:val="20"/>
          <w:lang w:val="en-GB"/>
        </w:rPr>
        <w:t xml:space="preserve">. </w:t>
      </w:r>
      <w:r w:rsidR="005620EC" w:rsidRPr="00220553">
        <w:rPr>
          <w:szCs w:val="20"/>
          <w:lang w:val="en-GB"/>
        </w:rPr>
        <w:t>The Ma02revCo07 procedure for cross-border coordination assumes that sharing and compatibility criteria for the services involved are known. Annex 2 provides such criteria for T-DAB and a set of other services that were considered at the Maastricht '02 planning meeting. No information is given for other candidate applications in the present ECC Report.</w:t>
      </w:r>
    </w:p>
    <w:p w:rsidR="005620EC" w:rsidRPr="00220553" w:rsidRDefault="005620EC" w:rsidP="005620EC">
      <w:pPr>
        <w:rPr>
          <w:szCs w:val="20"/>
          <w:lang w:val="en-GB"/>
        </w:rPr>
      </w:pPr>
      <w:r w:rsidRPr="00220553">
        <w:rPr>
          <w:szCs w:val="20"/>
          <w:lang w:val="en-GB"/>
        </w:rPr>
        <w:t> </w:t>
      </w:r>
    </w:p>
    <w:p w:rsidR="009C7EAC" w:rsidRPr="000C290E" w:rsidRDefault="005620EC" w:rsidP="005620EC">
      <w:r w:rsidRPr="00220553">
        <w:rPr>
          <w:szCs w:val="20"/>
          <w:lang w:val="en-GB"/>
        </w:rPr>
        <w:t>Nevertheless, administrations can use the Ma02revCo07 procedure to coordinate systems other than T-DAB. For such cases the provisions in Annex 2 require that</w:t>
      </w:r>
      <w:r w:rsidRPr="000C290E">
        <w:rPr>
          <w:rFonts w:ascii="Calibri" w:hAnsi="Calibri" w:cs="Calibri"/>
          <w:szCs w:val="20"/>
        </w:rPr>
        <w:t xml:space="preserve"> '</w:t>
      </w:r>
      <w:r w:rsidRPr="000C290E">
        <w:rPr>
          <w:i/>
          <w:iCs/>
        </w:rPr>
        <w:t>the administrations concerned should develop appropriate sharing criteria by mutual agreement. When available, one could use the relevant ITU- R Recommendations or ERC and ECC Decisions and Recommendations</w:t>
      </w:r>
      <w:r w:rsidRPr="000C290E">
        <w:t>.'</w:t>
      </w:r>
      <w:r w:rsidR="009C7EAC" w:rsidRPr="000C290E">
        <w:t xml:space="preserve"> </w:t>
      </w:r>
    </w:p>
    <w:p w:rsidR="005620EC" w:rsidRDefault="009C7EAC" w:rsidP="005620EC">
      <w:pPr>
        <w:rPr>
          <w:szCs w:val="20"/>
          <w:lang w:val="en-GB"/>
        </w:rPr>
      </w:pPr>
      <w:r w:rsidRPr="000C290E">
        <w:t xml:space="preserve">In particular the coordination procedure to </w:t>
      </w:r>
      <w:r w:rsidR="000C290E" w:rsidRPr="000C290E">
        <w:t>evaluate the</w:t>
      </w:r>
      <w:r w:rsidRPr="000C290E">
        <w:t xml:space="preserve"> field strength of mobile uplink and </w:t>
      </w:r>
      <w:proofErr w:type="spellStart"/>
      <w:r w:rsidRPr="000C290E">
        <w:t>non fixed</w:t>
      </w:r>
      <w:proofErr w:type="spellEnd"/>
      <w:r w:rsidRPr="000C290E">
        <w:t xml:space="preserve"> transmitters would need to be defined and agreed.</w:t>
      </w:r>
    </w:p>
    <w:p w:rsidR="005620EC" w:rsidRDefault="005620EC" w:rsidP="00C5160B">
      <w:pPr>
        <w:rPr>
          <w:szCs w:val="20"/>
          <w:lang w:val="en-GB"/>
        </w:rPr>
      </w:pPr>
    </w:p>
    <w:p w:rsidR="005620EC" w:rsidRPr="00E73A5D" w:rsidRDefault="005620EC" w:rsidP="00C5160B">
      <w:pPr>
        <w:rPr>
          <w:szCs w:val="20"/>
          <w:lang w:val="en-GB"/>
        </w:rPr>
      </w:pPr>
    </w:p>
    <w:p w:rsidR="00C5160B" w:rsidRDefault="00C5160B" w:rsidP="00C5160B">
      <w:pPr>
        <w:pStyle w:val="Titre3"/>
      </w:pPr>
      <w:r>
        <w:t xml:space="preserve">Compatibility of </w:t>
      </w:r>
      <w:r w:rsidR="000C290E">
        <w:t>terrestrial broadcasting</w:t>
      </w:r>
      <w:r>
        <w:t xml:space="preserve"> with the current regulatory framework</w:t>
      </w:r>
      <w:bookmarkEnd w:id="0"/>
      <w:r>
        <w:t xml:space="preserve"> </w:t>
      </w:r>
    </w:p>
    <w:p w:rsidR="000C290E" w:rsidRDefault="00FA5ACE" w:rsidP="00C5160B">
      <w:pPr>
        <w:pStyle w:val="ECCParagraph"/>
        <w:rPr>
          <w:szCs w:val="20"/>
          <w:highlight w:val="yellow"/>
        </w:rPr>
      </w:pPr>
      <w:r>
        <w:rPr>
          <w:szCs w:val="20"/>
        </w:rPr>
        <w:t>At ITU level, the 1452-1492 MHz</w:t>
      </w:r>
      <w:r w:rsidR="00C5160B" w:rsidRPr="00E73A5D">
        <w:rPr>
          <w:szCs w:val="20"/>
        </w:rPr>
        <w:t xml:space="preserve"> band is allocated in Region 1 to the Broadcasting Service (sound) on a co-primary basis. </w:t>
      </w:r>
      <w:r w:rsidR="00656970">
        <w:rPr>
          <w:szCs w:val="20"/>
        </w:rPr>
        <w:t xml:space="preserve">Terrestrial broadcasting limited to audio broadcasting (footnote 5.345) is compliant with the Radio Regulations. </w:t>
      </w:r>
    </w:p>
    <w:p w:rsidR="00246CF7" w:rsidRDefault="006250C5" w:rsidP="00246CF7">
      <w:pPr>
        <w:rPr>
          <w:szCs w:val="20"/>
        </w:rPr>
      </w:pPr>
      <w:r>
        <w:rPr>
          <w:szCs w:val="20"/>
        </w:rPr>
        <w:t>At CEPT level, the 1452-1479.5 MHz</w:t>
      </w:r>
      <w:r w:rsidR="00C5160B" w:rsidRPr="006250C5">
        <w:rPr>
          <w:szCs w:val="20"/>
        </w:rPr>
        <w:t xml:space="preserve"> band has been harmonised for use by</w:t>
      </w:r>
      <w:r w:rsidR="00FA5ACE">
        <w:rPr>
          <w:szCs w:val="20"/>
        </w:rPr>
        <w:t xml:space="preserve"> terrestrial digital radio</w:t>
      </w:r>
      <w:r w:rsidR="00C5160B" w:rsidRPr="006250C5">
        <w:rPr>
          <w:szCs w:val="20"/>
        </w:rPr>
        <w:t xml:space="preserve"> networks through the MA02revCO07 Special Arrangement thus also providing an opportunity of deployment of subscription</w:t>
      </w:r>
      <w:r w:rsidR="00246CF7" w:rsidRPr="006250C5">
        <w:rPr>
          <w:szCs w:val="20"/>
        </w:rPr>
        <w:t xml:space="preserve"> or free-to-air</w:t>
      </w:r>
      <w:r w:rsidR="00C5160B" w:rsidRPr="006250C5">
        <w:rPr>
          <w:szCs w:val="20"/>
        </w:rPr>
        <w:t xml:space="preserve"> radio service</w:t>
      </w:r>
      <w:r>
        <w:rPr>
          <w:szCs w:val="20"/>
        </w:rPr>
        <w:t>s in a harmonised way in Europe</w:t>
      </w:r>
      <w:r w:rsidRPr="006250C5">
        <w:rPr>
          <w:szCs w:val="20"/>
        </w:rPr>
        <w:t xml:space="preserve">. </w:t>
      </w:r>
    </w:p>
    <w:p w:rsidR="00FA5ACE" w:rsidRDefault="00FA5ACE" w:rsidP="00246CF7">
      <w:pPr>
        <w:rPr>
          <w:lang w:val="en-GB"/>
        </w:rPr>
      </w:pPr>
    </w:p>
    <w:p w:rsidR="006F7F0A" w:rsidRPr="00E73A5D" w:rsidRDefault="00C5160B" w:rsidP="00C5160B">
      <w:pPr>
        <w:rPr>
          <w:szCs w:val="20"/>
        </w:rPr>
      </w:pPr>
      <w:r w:rsidRPr="00E73A5D">
        <w:rPr>
          <w:szCs w:val="20"/>
        </w:rPr>
        <w:t xml:space="preserve">Terrestrial </w:t>
      </w:r>
      <w:r w:rsidR="00F2024D">
        <w:rPr>
          <w:szCs w:val="20"/>
        </w:rPr>
        <w:t>b</w:t>
      </w:r>
      <w:r w:rsidRPr="00E73A5D">
        <w:rPr>
          <w:szCs w:val="20"/>
        </w:rPr>
        <w:t>roadcasting</w:t>
      </w:r>
      <w:r w:rsidR="006250C5">
        <w:rPr>
          <w:szCs w:val="20"/>
        </w:rPr>
        <w:t xml:space="preserve"> </w:t>
      </w:r>
      <w:r w:rsidR="007E066E">
        <w:rPr>
          <w:szCs w:val="20"/>
        </w:rPr>
        <w:t>(as described in section 3</w:t>
      </w:r>
      <w:r w:rsidR="00536F29">
        <w:rPr>
          <w:szCs w:val="20"/>
        </w:rPr>
        <w:t>.1</w:t>
      </w:r>
      <w:r w:rsidR="007E066E">
        <w:rPr>
          <w:szCs w:val="20"/>
        </w:rPr>
        <w:t>)</w:t>
      </w:r>
      <w:r w:rsidRPr="00E73A5D">
        <w:rPr>
          <w:szCs w:val="20"/>
        </w:rPr>
        <w:t xml:space="preserve"> is compatible with the </w:t>
      </w:r>
      <w:r w:rsidR="000A2E54">
        <w:rPr>
          <w:szCs w:val="20"/>
        </w:rPr>
        <w:t xml:space="preserve">MA02revCO07 </w:t>
      </w:r>
      <w:r w:rsidR="007E066E">
        <w:rPr>
          <w:szCs w:val="20"/>
        </w:rPr>
        <w:t>special arrangement</w:t>
      </w:r>
      <w:r w:rsidRPr="00E73A5D">
        <w:rPr>
          <w:szCs w:val="20"/>
        </w:rPr>
        <w:t>:</w:t>
      </w:r>
    </w:p>
    <w:p w:rsidR="00C5160B" w:rsidRPr="00E73A5D" w:rsidRDefault="00C5160B" w:rsidP="00C5160B">
      <w:pPr>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3602"/>
      </w:tblGrid>
      <w:tr w:rsidR="00C5160B" w:rsidRPr="00E73A5D" w:rsidTr="00D50744">
        <w:tc>
          <w:tcPr>
            <w:tcW w:w="4606" w:type="dxa"/>
          </w:tcPr>
          <w:p w:rsidR="00C5160B" w:rsidRPr="00E73A5D" w:rsidRDefault="00C5160B" w:rsidP="00D50744">
            <w:pPr>
              <w:rPr>
                <w:b/>
                <w:szCs w:val="20"/>
                <w:lang w:val="en-GB"/>
              </w:rPr>
            </w:pPr>
            <w:r w:rsidRPr="00E73A5D">
              <w:rPr>
                <w:b/>
                <w:szCs w:val="20"/>
                <w:lang w:val="en-GB"/>
              </w:rPr>
              <w:lastRenderedPageBreak/>
              <w:t>Compatibility with MA02</w:t>
            </w:r>
            <w:r w:rsidR="009E7591">
              <w:rPr>
                <w:b/>
                <w:szCs w:val="20"/>
                <w:lang w:val="en-GB"/>
              </w:rPr>
              <w:t>revCO07</w:t>
            </w:r>
          </w:p>
        </w:tc>
        <w:tc>
          <w:tcPr>
            <w:tcW w:w="3602" w:type="dxa"/>
          </w:tcPr>
          <w:p w:rsidR="00C5160B" w:rsidRPr="00E73A5D" w:rsidRDefault="00C5160B" w:rsidP="00D50744">
            <w:pPr>
              <w:rPr>
                <w:szCs w:val="20"/>
                <w:lang w:val="en-GB"/>
              </w:rPr>
            </w:pPr>
            <w:r w:rsidRPr="00E73A5D">
              <w:rPr>
                <w:szCs w:val="20"/>
                <w:lang w:val="en-GB"/>
              </w:rPr>
              <w:t>Terrestrial Broadcasting</w:t>
            </w:r>
          </w:p>
        </w:tc>
      </w:tr>
      <w:tr w:rsidR="00C5160B" w:rsidRPr="00E73A5D" w:rsidTr="00D50744">
        <w:tc>
          <w:tcPr>
            <w:tcW w:w="4606" w:type="dxa"/>
          </w:tcPr>
          <w:p w:rsidR="00C5160B" w:rsidRPr="00E73A5D" w:rsidRDefault="00C5160B" w:rsidP="00D50744">
            <w:pPr>
              <w:rPr>
                <w:szCs w:val="20"/>
                <w:lang w:val="en-GB"/>
              </w:rPr>
            </w:pPr>
            <w:r w:rsidRPr="00E73A5D">
              <w:rPr>
                <w:szCs w:val="20"/>
                <w:lang w:val="en-GB"/>
              </w:rPr>
              <w:t>Compatibility with the current  Plan</w:t>
            </w:r>
          </w:p>
        </w:tc>
        <w:tc>
          <w:tcPr>
            <w:tcW w:w="3602" w:type="dxa"/>
          </w:tcPr>
          <w:p w:rsidR="00C5160B" w:rsidRPr="00E73A5D" w:rsidRDefault="00C5160B" w:rsidP="00246CF7">
            <w:pPr>
              <w:rPr>
                <w:szCs w:val="20"/>
                <w:lang w:val="en-GB"/>
              </w:rPr>
            </w:pPr>
            <w:r w:rsidRPr="00E73A5D">
              <w:rPr>
                <w:szCs w:val="20"/>
                <w:lang w:val="en-GB"/>
              </w:rPr>
              <w:t>Yes</w:t>
            </w:r>
          </w:p>
        </w:tc>
      </w:tr>
      <w:tr w:rsidR="00C5160B" w:rsidRPr="00E73A5D" w:rsidTr="00D50744">
        <w:tc>
          <w:tcPr>
            <w:tcW w:w="4606" w:type="dxa"/>
          </w:tcPr>
          <w:p w:rsidR="00C5160B" w:rsidRPr="00E73A5D" w:rsidRDefault="00C5160B" w:rsidP="005037BF">
            <w:pPr>
              <w:rPr>
                <w:szCs w:val="20"/>
                <w:lang w:val="en-GB"/>
              </w:rPr>
            </w:pPr>
            <w:r w:rsidRPr="00E73A5D">
              <w:rPr>
                <w:szCs w:val="20"/>
                <w:lang w:val="en-GB"/>
              </w:rPr>
              <w:t xml:space="preserve">Compatibility with </w:t>
            </w:r>
            <w:r w:rsidR="005037BF">
              <w:rPr>
                <w:szCs w:val="20"/>
                <w:lang w:val="en-GB"/>
              </w:rPr>
              <w:t>envelope concept</w:t>
            </w:r>
          </w:p>
        </w:tc>
        <w:tc>
          <w:tcPr>
            <w:tcW w:w="3602" w:type="dxa"/>
          </w:tcPr>
          <w:p w:rsidR="00C5160B" w:rsidRPr="00E73A5D" w:rsidRDefault="00C5160B" w:rsidP="00246CF7">
            <w:pPr>
              <w:rPr>
                <w:szCs w:val="20"/>
                <w:lang w:val="en-GB"/>
              </w:rPr>
            </w:pPr>
            <w:r w:rsidRPr="00E73A5D">
              <w:rPr>
                <w:szCs w:val="20"/>
                <w:lang w:val="en-GB"/>
              </w:rPr>
              <w:t>Yes</w:t>
            </w:r>
          </w:p>
        </w:tc>
      </w:tr>
      <w:tr w:rsidR="00C5160B" w:rsidRPr="00E73A5D" w:rsidTr="00D50744">
        <w:tc>
          <w:tcPr>
            <w:tcW w:w="4606" w:type="dxa"/>
          </w:tcPr>
          <w:p w:rsidR="00C5160B" w:rsidRPr="00E73A5D" w:rsidRDefault="00C5160B" w:rsidP="00D50744">
            <w:pPr>
              <w:rPr>
                <w:szCs w:val="20"/>
                <w:lang w:val="en-GB"/>
              </w:rPr>
            </w:pPr>
            <w:r w:rsidRPr="00E73A5D">
              <w:rPr>
                <w:szCs w:val="20"/>
                <w:lang w:val="en-GB"/>
              </w:rPr>
              <w:t>MA02 as a tool for cross-border coordination</w:t>
            </w:r>
          </w:p>
        </w:tc>
        <w:tc>
          <w:tcPr>
            <w:tcW w:w="3602" w:type="dxa"/>
          </w:tcPr>
          <w:p w:rsidR="00C5160B" w:rsidRPr="00E73A5D" w:rsidRDefault="00C5160B" w:rsidP="00A7144F">
            <w:pPr>
              <w:rPr>
                <w:szCs w:val="20"/>
                <w:lang w:val="en-GB"/>
              </w:rPr>
            </w:pPr>
            <w:r w:rsidRPr="00E73A5D">
              <w:rPr>
                <w:szCs w:val="20"/>
                <w:lang w:val="en-GB"/>
              </w:rPr>
              <w:t>Yes</w:t>
            </w:r>
          </w:p>
        </w:tc>
      </w:tr>
    </w:tbl>
    <w:p w:rsidR="00C5160B" w:rsidRDefault="00C5160B" w:rsidP="00C5160B"/>
    <w:p w:rsidR="007E066E" w:rsidRDefault="007E066E" w:rsidP="003257F2">
      <w:pPr>
        <w:rPr>
          <w:lang w:val="en-GB"/>
        </w:rPr>
      </w:pPr>
    </w:p>
    <w:p w:rsidR="003257F2" w:rsidRDefault="009E7591" w:rsidP="003257F2">
      <w:pPr>
        <w:rPr>
          <w:lang w:val="en-GB"/>
        </w:rPr>
      </w:pPr>
      <w:r>
        <w:rPr>
          <w:lang w:val="en-GB"/>
        </w:rPr>
        <w:t>T</w:t>
      </w:r>
      <w:r w:rsidR="00536F29">
        <w:rPr>
          <w:lang w:val="en-GB"/>
        </w:rPr>
        <w:t xml:space="preserve">he spectrum requirement for this application </w:t>
      </w:r>
      <w:r>
        <w:rPr>
          <w:lang w:val="en-GB"/>
        </w:rPr>
        <w:t xml:space="preserve">as described in section 3.1 </w:t>
      </w:r>
      <w:r w:rsidR="00536F29">
        <w:rPr>
          <w:lang w:val="en-GB"/>
        </w:rPr>
        <w:t xml:space="preserve">does not cover the band designated in ECC </w:t>
      </w:r>
      <w:proofErr w:type="gramStart"/>
      <w:r w:rsidR="00536F29">
        <w:rPr>
          <w:lang w:val="en-GB"/>
        </w:rPr>
        <w:t>DEC(</w:t>
      </w:r>
      <w:proofErr w:type="gramEnd"/>
      <w:r w:rsidR="00536F29">
        <w:rPr>
          <w:lang w:val="en-GB"/>
        </w:rPr>
        <w:t>03)02.</w:t>
      </w:r>
    </w:p>
    <w:p w:rsidR="00C5160B" w:rsidRDefault="00C5160B" w:rsidP="00C5160B">
      <w:pPr>
        <w:pStyle w:val="Titre3"/>
      </w:pPr>
      <w:bookmarkStart w:id="2" w:name="_Toc311197392"/>
      <w:r>
        <w:t>Compatibility with the current regulatory framework</w:t>
      </w:r>
      <w:bookmarkEnd w:id="2"/>
      <w:r>
        <w:t xml:space="preserve"> </w:t>
      </w:r>
      <w:r w:rsidR="00E73A5D">
        <w:t>[Mobile Broadband]</w:t>
      </w:r>
    </w:p>
    <w:p w:rsidR="00DC315C" w:rsidRDefault="00B32D0D" w:rsidP="00B32D0D">
      <w:pPr>
        <w:rPr>
          <w:lang w:val="en-GB"/>
        </w:rPr>
      </w:pPr>
      <w:r w:rsidRPr="00B32D0D">
        <w:rPr>
          <w:lang w:val="en-GB"/>
        </w:rPr>
        <w:t xml:space="preserve">As a mobile system, </w:t>
      </w:r>
      <w:r>
        <w:rPr>
          <w:lang w:val="en-GB"/>
        </w:rPr>
        <w:t>Mobile Broadband</w:t>
      </w:r>
      <w:r w:rsidRPr="00B32D0D">
        <w:rPr>
          <w:lang w:val="en-GB"/>
        </w:rPr>
        <w:t xml:space="preserve"> will operate under the Mobile Service allocation and is therefore compatible with Article 5 of Radio Regulations where the band 1452-1492 MHz is allocated to the Mobile Service on a co-primary basis.</w:t>
      </w:r>
    </w:p>
    <w:p w:rsidR="00B32D0D" w:rsidRPr="00B32D0D" w:rsidRDefault="00B32D0D" w:rsidP="00B32D0D">
      <w:pPr>
        <w:rPr>
          <w:lang w:val="en-GB"/>
        </w:rPr>
      </w:pPr>
    </w:p>
    <w:p w:rsidR="00C5160B" w:rsidRDefault="00C5160B" w:rsidP="00C5160B">
      <w:r w:rsidRPr="00CE70B5">
        <w:t xml:space="preserve">The adoption of a band plan </w:t>
      </w:r>
      <w:r w:rsidR="00536F29" w:rsidRPr="00CE70B5">
        <w:t xml:space="preserve">based on 5 MHz blocks </w:t>
      </w:r>
      <w:r w:rsidRPr="00CE70B5">
        <w:t>for the introduction of technologies supporting the delivery of mobile broadband services in 1452-1492 MHz may stay compatible with the existing Maastricht special arrangement (MA02revCO07).</w:t>
      </w:r>
    </w:p>
    <w:p w:rsidR="000A2E54" w:rsidRDefault="000A2E54" w:rsidP="00C5160B">
      <w:r w:rsidRPr="00CE70B5">
        <w:rPr>
          <w:rFonts w:cs="Arial"/>
          <w:szCs w:val="20"/>
        </w:rPr>
        <w:t>The issue of compatibility with MA02revCO07 is summed up in the table below:</w:t>
      </w:r>
    </w:p>
    <w:p w:rsidR="00C5160B" w:rsidRDefault="00C5160B" w:rsidP="00C516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3602"/>
      </w:tblGrid>
      <w:tr w:rsidR="00C5160B" w:rsidRPr="00B16AC0" w:rsidTr="00D50744">
        <w:tc>
          <w:tcPr>
            <w:tcW w:w="4606" w:type="dxa"/>
          </w:tcPr>
          <w:p w:rsidR="00C5160B" w:rsidRPr="003227AC" w:rsidRDefault="00C5160B" w:rsidP="00D50744">
            <w:pPr>
              <w:rPr>
                <w:b/>
                <w:lang w:val="en-GB"/>
              </w:rPr>
            </w:pPr>
            <w:r w:rsidRPr="003227AC">
              <w:rPr>
                <w:b/>
                <w:sz w:val="24"/>
                <w:lang w:val="en-GB"/>
              </w:rPr>
              <w:t>Compatibility with MA02</w:t>
            </w:r>
            <w:r w:rsidR="009E7591">
              <w:rPr>
                <w:b/>
                <w:szCs w:val="20"/>
                <w:lang w:val="en-GB"/>
              </w:rPr>
              <w:t>revCO07</w:t>
            </w:r>
          </w:p>
        </w:tc>
        <w:tc>
          <w:tcPr>
            <w:tcW w:w="3602" w:type="dxa"/>
          </w:tcPr>
          <w:p w:rsidR="00C5160B" w:rsidRPr="003227AC" w:rsidRDefault="00C5160B" w:rsidP="00D50744">
            <w:pPr>
              <w:rPr>
                <w:lang w:val="en-GB"/>
              </w:rPr>
            </w:pPr>
            <w:r w:rsidRPr="003227AC">
              <w:rPr>
                <w:sz w:val="24"/>
                <w:lang w:val="en-GB"/>
              </w:rPr>
              <w:t>Mobile Broadband</w:t>
            </w:r>
          </w:p>
        </w:tc>
      </w:tr>
      <w:tr w:rsidR="00C5160B" w:rsidRPr="00B16AC0" w:rsidTr="00D50744">
        <w:tc>
          <w:tcPr>
            <w:tcW w:w="4606" w:type="dxa"/>
          </w:tcPr>
          <w:p w:rsidR="00C5160B" w:rsidRPr="00C9709C" w:rsidRDefault="00C5160B" w:rsidP="00D50744">
            <w:pPr>
              <w:rPr>
                <w:lang w:val="en-GB"/>
              </w:rPr>
            </w:pPr>
            <w:r w:rsidRPr="003361A9">
              <w:rPr>
                <w:lang w:val="en-GB"/>
              </w:rPr>
              <w:t xml:space="preserve">Compatibility with the </w:t>
            </w:r>
            <w:r w:rsidRPr="00E42148">
              <w:rPr>
                <w:lang w:val="en-GB"/>
              </w:rPr>
              <w:t>current Plan</w:t>
            </w:r>
            <w:r w:rsidRPr="003227AC">
              <w:rPr>
                <w:sz w:val="24"/>
                <w:lang w:val="en-GB"/>
              </w:rPr>
              <w:t xml:space="preserve"> </w:t>
            </w:r>
          </w:p>
        </w:tc>
        <w:tc>
          <w:tcPr>
            <w:tcW w:w="3602" w:type="dxa"/>
          </w:tcPr>
          <w:p w:rsidR="00C5160B" w:rsidRPr="003227AC" w:rsidRDefault="00C5160B" w:rsidP="00D50744">
            <w:pPr>
              <w:rPr>
                <w:lang w:val="en-GB"/>
              </w:rPr>
            </w:pPr>
            <w:r w:rsidRPr="00E42148">
              <w:rPr>
                <w:lang w:val="en-GB"/>
              </w:rPr>
              <w:t>No</w:t>
            </w:r>
          </w:p>
        </w:tc>
      </w:tr>
      <w:tr w:rsidR="00C5160B" w:rsidRPr="003227AC" w:rsidTr="00D50744">
        <w:tc>
          <w:tcPr>
            <w:tcW w:w="4606" w:type="dxa"/>
          </w:tcPr>
          <w:p w:rsidR="00C5160B" w:rsidRPr="003361A9" w:rsidRDefault="005037BF" w:rsidP="00D50744">
            <w:pPr>
              <w:rPr>
                <w:lang w:val="en-GB"/>
              </w:rPr>
            </w:pPr>
            <w:r w:rsidRPr="00E73A5D">
              <w:rPr>
                <w:szCs w:val="20"/>
                <w:lang w:val="en-GB"/>
              </w:rPr>
              <w:t xml:space="preserve">Compatibility with </w:t>
            </w:r>
            <w:r>
              <w:rPr>
                <w:szCs w:val="20"/>
                <w:lang w:val="en-GB"/>
              </w:rPr>
              <w:t>envelope concept</w:t>
            </w:r>
          </w:p>
        </w:tc>
        <w:tc>
          <w:tcPr>
            <w:tcW w:w="3602" w:type="dxa"/>
          </w:tcPr>
          <w:p w:rsidR="005037BF" w:rsidRDefault="00C5160B" w:rsidP="00C5160B">
            <w:pPr>
              <w:rPr>
                <w:szCs w:val="20"/>
                <w:lang w:val="en-GB"/>
              </w:rPr>
            </w:pPr>
            <w:r w:rsidRPr="00E73A5D">
              <w:rPr>
                <w:szCs w:val="20"/>
                <w:lang w:val="en-GB"/>
              </w:rPr>
              <w:t>Mobile Broadband in the downlink could use aggregation of 1.7 MHz contiguous channels</w:t>
            </w:r>
            <w:r w:rsidR="005037BF">
              <w:rPr>
                <w:szCs w:val="20"/>
                <w:lang w:val="en-GB"/>
              </w:rPr>
              <w:t>, but it would be suboptimal</w:t>
            </w:r>
            <w:r w:rsidR="00536F29">
              <w:rPr>
                <w:szCs w:val="20"/>
                <w:lang w:val="en-GB"/>
              </w:rPr>
              <w:t xml:space="preserve"> and the whole 40 MHz would not be used</w:t>
            </w:r>
            <w:r w:rsidRPr="00E73A5D">
              <w:rPr>
                <w:szCs w:val="20"/>
                <w:lang w:val="en-GB"/>
              </w:rPr>
              <w:t xml:space="preserve">. </w:t>
            </w:r>
          </w:p>
          <w:p w:rsidR="00C5160B" w:rsidRPr="005037BF" w:rsidRDefault="00C5160B" w:rsidP="00D50744">
            <w:pPr>
              <w:rPr>
                <w:szCs w:val="20"/>
                <w:lang w:val="en-GB"/>
              </w:rPr>
            </w:pPr>
          </w:p>
        </w:tc>
      </w:tr>
      <w:tr w:rsidR="00C5160B" w:rsidRPr="006B125A" w:rsidTr="00D50744">
        <w:tc>
          <w:tcPr>
            <w:tcW w:w="4606" w:type="dxa"/>
          </w:tcPr>
          <w:p w:rsidR="00C5160B" w:rsidRPr="003361A9" w:rsidRDefault="00C5160B" w:rsidP="00D50744">
            <w:pPr>
              <w:rPr>
                <w:lang w:val="en-GB"/>
              </w:rPr>
            </w:pPr>
            <w:r w:rsidRPr="003361A9">
              <w:rPr>
                <w:lang w:val="en-GB"/>
              </w:rPr>
              <w:t>MA02 as a tool for cross-border coordination</w:t>
            </w:r>
          </w:p>
        </w:tc>
        <w:tc>
          <w:tcPr>
            <w:tcW w:w="3602" w:type="dxa"/>
          </w:tcPr>
          <w:p w:rsidR="00A7144F" w:rsidRDefault="00A7144F" w:rsidP="00C5160B">
            <w:pPr>
              <w:rPr>
                <w:szCs w:val="20"/>
                <w:lang w:val="en-GB"/>
              </w:rPr>
            </w:pPr>
            <w:r>
              <w:rPr>
                <w:szCs w:val="20"/>
                <w:lang w:val="en-GB"/>
              </w:rPr>
              <w:t>Need to develop procedure for mobile transmitters</w:t>
            </w:r>
          </w:p>
          <w:p w:rsidR="00C5160B" w:rsidRPr="003227AC" w:rsidRDefault="00C5160B" w:rsidP="00D50744">
            <w:pPr>
              <w:rPr>
                <w:sz w:val="22"/>
                <w:lang w:val="en-GB"/>
              </w:rPr>
            </w:pPr>
          </w:p>
        </w:tc>
      </w:tr>
    </w:tbl>
    <w:p w:rsidR="00C5160B" w:rsidRDefault="00C5160B" w:rsidP="00C5160B"/>
    <w:p w:rsidR="0055185B" w:rsidRDefault="0055185B" w:rsidP="00C5160B"/>
    <w:p w:rsidR="00FC1C16" w:rsidRDefault="00FC1C16" w:rsidP="00FC1C16">
      <w:pPr>
        <w:pStyle w:val="ECCParagraph"/>
      </w:pPr>
      <w:r>
        <w:t xml:space="preserve">ECC </w:t>
      </w:r>
      <w:proofErr w:type="gramStart"/>
      <w:r>
        <w:t>DEC(</w:t>
      </w:r>
      <w:proofErr w:type="gramEnd"/>
      <w:r>
        <w:t xml:space="preserve">03)02 designates the frequency band 1479.5 - 1492 MHz for use by satellite digital audio broadcasting systems. Thus Mobile Broadband is not compatible with ECC </w:t>
      </w:r>
      <w:proofErr w:type="gramStart"/>
      <w:r>
        <w:t>DEC(</w:t>
      </w:r>
      <w:proofErr w:type="gramEnd"/>
      <w:r>
        <w:t>03)02.</w:t>
      </w:r>
    </w:p>
    <w:p w:rsidR="00C5160B" w:rsidRDefault="00C5160B" w:rsidP="00C5160B">
      <w:pPr>
        <w:pStyle w:val="Titre3"/>
      </w:pPr>
      <w:bookmarkStart w:id="3" w:name="_Toc311197399"/>
      <w:r>
        <w:t>Compatibility with the current regulatory framework,</w:t>
      </w:r>
      <w:bookmarkEnd w:id="3"/>
      <w:r>
        <w:t xml:space="preserve"> </w:t>
      </w:r>
      <w:r w:rsidR="00E73A5D">
        <w:t>[MMD]</w:t>
      </w:r>
    </w:p>
    <w:p w:rsidR="00C5160B" w:rsidRDefault="00C5160B" w:rsidP="00C5160B">
      <w:pPr>
        <w:pStyle w:val="ECCParagraph"/>
        <w:rPr>
          <w:highlight w:val="yellow"/>
        </w:rPr>
      </w:pPr>
      <w:r w:rsidRPr="00B22477">
        <w:t>As a mobile syst</w:t>
      </w:r>
      <w:r w:rsidR="00CE70B5">
        <w:t>em, MMD</w:t>
      </w:r>
      <w:r w:rsidR="00F06955">
        <w:t xml:space="preserve"> will operate under the</w:t>
      </w:r>
      <w:r w:rsidRPr="00B22477">
        <w:t xml:space="preserve"> Mobile Service allocation and is therefore compatible with Article 5 of Radio Regulations where the band 1452-1492 MHz is allocated to the Mobile Service on a co-primary basis.</w:t>
      </w:r>
    </w:p>
    <w:p w:rsidR="00CE70B5" w:rsidRDefault="00CE70B5" w:rsidP="00CE70B5">
      <w:r w:rsidRPr="00CE70B5">
        <w:t>The adoption of a band plan based on 5 MHz blocks for the introduction of technologies supporting the delivery of mobile broadband services in 1452-1492 MHz may stay compatible with the existing Maastricht special arrangement (MA02revCO07).</w:t>
      </w:r>
    </w:p>
    <w:p w:rsidR="009C7EAC" w:rsidRDefault="009C7EAC" w:rsidP="00087960">
      <w:pPr>
        <w:pStyle w:val="ECCParagraph"/>
      </w:pPr>
      <w:r w:rsidRPr="00CE70B5">
        <w:rPr>
          <w:rFonts w:cs="Arial"/>
          <w:szCs w:val="20"/>
        </w:rPr>
        <w:t>The issue of compatibility with MA02revCO07 is summed up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3602"/>
      </w:tblGrid>
      <w:tr w:rsidR="00C5160B" w:rsidRPr="00B16AC0" w:rsidTr="00D50744">
        <w:tc>
          <w:tcPr>
            <w:tcW w:w="4606" w:type="dxa"/>
          </w:tcPr>
          <w:p w:rsidR="00C5160B" w:rsidRPr="003227AC" w:rsidRDefault="00C5160B" w:rsidP="00D50744">
            <w:pPr>
              <w:rPr>
                <w:b/>
                <w:lang w:val="en-GB"/>
              </w:rPr>
            </w:pPr>
            <w:r w:rsidRPr="003227AC">
              <w:rPr>
                <w:b/>
                <w:sz w:val="24"/>
                <w:lang w:val="en-GB"/>
              </w:rPr>
              <w:t>Compatibility with MA02</w:t>
            </w:r>
            <w:r w:rsidR="00B55CA5">
              <w:rPr>
                <w:b/>
                <w:sz w:val="24"/>
                <w:lang w:val="en-GB"/>
              </w:rPr>
              <w:t>revCO07</w:t>
            </w:r>
          </w:p>
        </w:tc>
        <w:tc>
          <w:tcPr>
            <w:tcW w:w="3602" w:type="dxa"/>
          </w:tcPr>
          <w:p w:rsidR="00C5160B" w:rsidRPr="003227AC" w:rsidRDefault="00C5160B" w:rsidP="00D50744">
            <w:pPr>
              <w:rPr>
                <w:lang w:val="en-GB"/>
              </w:rPr>
            </w:pPr>
            <w:r w:rsidRPr="003227AC">
              <w:rPr>
                <w:sz w:val="24"/>
                <w:lang w:val="en-GB"/>
              </w:rPr>
              <w:t>MMD</w:t>
            </w:r>
          </w:p>
        </w:tc>
      </w:tr>
      <w:tr w:rsidR="00C5160B" w:rsidRPr="00B16AC0" w:rsidTr="00D50744">
        <w:tc>
          <w:tcPr>
            <w:tcW w:w="4606" w:type="dxa"/>
          </w:tcPr>
          <w:p w:rsidR="00C5160B" w:rsidRPr="003361A9" w:rsidRDefault="00C5160B" w:rsidP="00D50744">
            <w:pPr>
              <w:rPr>
                <w:lang w:val="en-GB"/>
              </w:rPr>
            </w:pPr>
            <w:r w:rsidRPr="003361A9">
              <w:rPr>
                <w:lang w:val="en-GB"/>
              </w:rPr>
              <w:t xml:space="preserve">Compatibility with the </w:t>
            </w:r>
            <w:r w:rsidR="00E42148">
              <w:rPr>
                <w:lang w:val="en-GB"/>
              </w:rPr>
              <w:t xml:space="preserve">current </w:t>
            </w:r>
            <w:r w:rsidRPr="003361A9">
              <w:rPr>
                <w:lang w:val="en-GB"/>
              </w:rPr>
              <w:t xml:space="preserve">Plan </w:t>
            </w:r>
          </w:p>
        </w:tc>
        <w:tc>
          <w:tcPr>
            <w:tcW w:w="3602" w:type="dxa"/>
          </w:tcPr>
          <w:p w:rsidR="00C5160B" w:rsidRPr="00E73A5D" w:rsidRDefault="00E42148" w:rsidP="00D50744">
            <w:pPr>
              <w:rPr>
                <w:szCs w:val="20"/>
                <w:lang w:val="en-GB"/>
              </w:rPr>
            </w:pPr>
            <w:r>
              <w:rPr>
                <w:szCs w:val="20"/>
                <w:lang w:val="en-GB"/>
              </w:rPr>
              <w:t>No</w:t>
            </w:r>
          </w:p>
        </w:tc>
      </w:tr>
      <w:tr w:rsidR="00C5160B" w:rsidRPr="006B125A" w:rsidTr="00D50744">
        <w:tc>
          <w:tcPr>
            <w:tcW w:w="4606" w:type="dxa"/>
          </w:tcPr>
          <w:p w:rsidR="00C5160B" w:rsidRPr="003361A9" w:rsidRDefault="005037BF" w:rsidP="00D50744">
            <w:pPr>
              <w:rPr>
                <w:lang w:val="en-GB"/>
              </w:rPr>
            </w:pPr>
            <w:r w:rsidRPr="00E73A5D">
              <w:rPr>
                <w:szCs w:val="20"/>
                <w:lang w:val="en-GB"/>
              </w:rPr>
              <w:t xml:space="preserve">Compatibility with </w:t>
            </w:r>
            <w:r>
              <w:rPr>
                <w:szCs w:val="20"/>
                <w:lang w:val="en-GB"/>
              </w:rPr>
              <w:t>envelope concept</w:t>
            </w:r>
          </w:p>
        </w:tc>
        <w:tc>
          <w:tcPr>
            <w:tcW w:w="3602" w:type="dxa"/>
          </w:tcPr>
          <w:p w:rsidR="005037BF" w:rsidRDefault="005037BF" w:rsidP="00C5160B">
            <w:pPr>
              <w:rPr>
                <w:szCs w:val="20"/>
                <w:lang w:val="en-GB"/>
              </w:rPr>
            </w:pPr>
            <w:r w:rsidRPr="00E73A5D">
              <w:rPr>
                <w:szCs w:val="20"/>
                <w:lang w:val="en-GB"/>
              </w:rPr>
              <w:t>Mobile Broadband in the downlink could use aggregation of 1.7 MHz contiguous channels</w:t>
            </w:r>
            <w:r>
              <w:rPr>
                <w:szCs w:val="20"/>
                <w:lang w:val="en-GB"/>
              </w:rPr>
              <w:t>, but it would be suboptimal</w:t>
            </w:r>
            <w:r w:rsidR="00CE70B5">
              <w:rPr>
                <w:szCs w:val="20"/>
                <w:lang w:val="en-GB"/>
              </w:rPr>
              <w:t xml:space="preserve"> and the whole 40 MHz would not be used</w:t>
            </w:r>
            <w:r w:rsidRPr="00E73A5D">
              <w:rPr>
                <w:szCs w:val="20"/>
                <w:lang w:val="en-GB"/>
              </w:rPr>
              <w:t>.</w:t>
            </w:r>
          </w:p>
          <w:p w:rsidR="00C5160B" w:rsidRPr="00DE328B" w:rsidRDefault="00C5160B" w:rsidP="00C5160B">
            <w:pPr>
              <w:rPr>
                <w:szCs w:val="20"/>
                <w:highlight w:val="yellow"/>
                <w:lang w:val="en-GB"/>
              </w:rPr>
            </w:pPr>
            <w:r w:rsidRPr="00DE328B">
              <w:rPr>
                <w:szCs w:val="20"/>
                <w:highlight w:val="yellow"/>
                <w:lang w:val="en-GB"/>
              </w:rPr>
              <w:t xml:space="preserve"> </w:t>
            </w:r>
          </w:p>
          <w:p w:rsidR="00C5160B" w:rsidRPr="00E73A5D" w:rsidRDefault="00C5160B" w:rsidP="00D50744">
            <w:pPr>
              <w:rPr>
                <w:szCs w:val="20"/>
                <w:lang w:val="en-GB"/>
              </w:rPr>
            </w:pPr>
          </w:p>
        </w:tc>
      </w:tr>
      <w:tr w:rsidR="00C5160B" w:rsidRPr="003227AC" w:rsidTr="00D50744">
        <w:tc>
          <w:tcPr>
            <w:tcW w:w="4606" w:type="dxa"/>
          </w:tcPr>
          <w:p w:rsidR="00C5160B" w:rsidRPr="003361A9" w:rsidRDefault="00C5160B" w:rsidP="00D50744">
            <w:pPr>
              <w:rPr>
                <w:lang w:val="en-GB"/>
              </w:rPr>
            </w:pPr>
            <w:r w:rsidRPr="003361A9">
              <w:rPr>
                <w:lang w:val="en-GB"/>
              </w:rPr>
              <w:t>MA02 as a tool for cross-border coordination</w:t>
            </w:r>
          </w:p>
        </w:tc>
        <w:tc>
          <w:tcPr>
            <w:tcW w:w="3602" w:type="dxa"/>
          </w:tcPr>
          <w:p w:rsidR="00DE328B" w:rsidRPr="00DE328B" w:rsidRDefault="00DE328B" w:rsidP="00DE328B">
            <w:pPr>
              <w:rPr>
                <w:szCs w:val="20"/>
              </w:rPr>
            </w:pPr>
            <w:r w:rsidRPr="00DE328B">
              <w:rPr>
                <w:szCs w:val="20"/>
              </w:rPr>
              <w:t>The procedure could be used as the transmitters are fixed</w:t>
            </w:r>
          </w:p>
          <w:p w:rsidR="00DE328B" w:rsidRDefault="00DE328B" w:rsidP="00DF5136">
            <w:pPr>
              <w:rPr>
                <w:szCs w:val="20"/>
                <w:lang w:val="en-GB"/>
              </w:rPr>
            </w:pPr>
          </w:p>
          <w:p w:rsidR="00C5160B" w:rsidRPr="00E73A5D" w:rsidRDefault="00C5160B" w:rsidP="00DF5136">
            <w:pPr>
              <w:rPr>
                <w:szCs w:val="20"/>
                <w:lang w:val="en-GB"/>
              </w:rPr>
            </w:pPr>
          </w:p>
        </w:tc>
      </w:tr>
    </w:tbl>
    <w:p w:rsidR="00C5160B" w:rsidRDefault="00C5160B" w:rsidP="00C5160B"/>
    <w:p w:rsidR="00FC1C16" w:rsidRDefault="00FC1C16" w:rsidP="00FC1C16">
      <w:pPr>
        <w:pStyle w:val="ECCParagraph"/>
        <w:spacing w:after="120"/>
      </w:pPr>
      <w:r>
        <w:t xml:space="preserve">ECC </w:t>
      </w:r>
      <w:proofErr w:type="gramStart"/>
      <w:r>
        <w:t>DEC(</w:t>
      </w:r>
      <w:proofErr w:type="gramEnd"/>
      <w:r>
        <w:t xml:space="preserve">03)02 designates the frequency band 1479.5 - 1492 MHz for use by satellite digital audio broadcasting systems. Thus MMD is not compatible with ECC </w:t>
      </w:r>
      <w:proofErr w:type="gramStart"/>
      <w:r>
        <w:t>DEC(</w:t>
      </w:r>
      <w:proofErr w:type="gramEnd"/>
      <w:r>
        <w:t>03)02.</w:t>
      </w:r>
    </w:p>
    <w:p w:rsidR="00FC1C16" w:rsidRDefault="00FC1C16" w:rsidP="00C5160B"/>
    <w:p w:rsidR="0036259D" w:rsidRPr="003A401A" w:rsidRDefault="0036259D" w:rsidP="0036259D">
      <w:pPr>
        <w:pStyle w:val="Titre3"/>
      </w:pPr>
      <w:bookmarkStart w:id="4" w:name="_Toc311197409"/>
      <w:r w:rsidRPr="003A401A">
        <w:t xml:space="preserve">Compatibility of </w:t>
      </w:r>
      <w:r w:rsidR="00E87EB6">
        <w:t>satellite broadcasting</w:t>
      </w:r>
      <w:r w:rsidRPr="003A401A">
        <w:t xml:space="preserve"> with the current regulatory framework</w:t>
      </w:r>
      <w:bookmarkEnd w:id="4"/>
      <w:r w:rsidRPr="003A401A">
        <w:t xml:space="preserve"> </w:t>
      </w:r>
    </w:p>
    <w:p w:rsidR="003E0E28" w:rsidRDefault="003E0E28" w:rsidP="0036259D">
      <w:pPr>
        <w:pStyle w:val="ECCParagraph"/>
        <w:rPr>
          <w:rFonts w:cs="Arial"/>
          <w:szCs w:val="20"/>
        </w:rPr>
      </w:pPr>
      <w:r w:rsidRPr="00860167">
        <w:rPr>
          <w:rFonts w:cs="Arial"/>
          <w:i/>
          <w:szCs w:val="20"/>
          <w:highlight w:val="yellow"/>
        </w:rPr>
        <w:t>Editor’s note: th</w:t>
      </w:r>
      <w:r>
        <w:rPr>
          <w:rFonts w:cs="Arial"/>
          <w:i/>
          <w:szCs w:val="20"/>
          <w:highlight w:val="yellow"/>
        </w:rPr>
        <w:t xml:space="preserve">is text (in particular the one highlighted) may need to be </w:t>
      </w:r>
      <w:r w:rsidRPr="00860167">
        <w:rPr>
          <w:rFonts w:cs="Arial"/>
          <w:i/>
          <w:szCs w:val="20"/>
          <w:highlight w:val="yellow"/>
        </w:rPr>
        <w:t xml:space="preserve">reviewed when </w:t>
      </w:r>
      <w:r>
        <w:rPr>
          <w:rFonts w:cs="Arial"/>
          <w:i/>
          <w:szCs w:val="20"/>
          <w:highlight w:val="yellow"/>
        </w:rPr>
        <w:t xml:space="preserve">the </w:t>
      </w:r>
      <w:r w:rsidRPr="00860167">
        <w:rPr>
          <w:rFonts w:cs="Arial"/>
          <w:i/>
          <w:szCs w:val="20"/>
          <w:highlight w:val="yellow"/>
        </w:rPr>
        <w:t>application description is completed</w:t>
      </w:r>
      <w:r>
        <w:rPr>
          <w:rFonts w:cs="Arial"/>
          <w:i/>
          <w:szCs w:val="20"/>
          <w:highlight w:val="yellow"/>
        </w:rPr>
        <w:t xml:space="preserve"> in section 3</w:t>
      </w:r>
      <w:r w:rsidRPr="00860167">
        <w:rPr>
          <w:rFonts w:cs="Arial"/>
          <w:i/>
          <w:szCs w:val="20"/>
          <w:highlight w:val="yellow"/>
        </w:rPr>
        <w:t>.</w:t>
      </w:r>
    </w:p>
    <w:p w:rsidR="00E9012C" w:rsidRDefault="0036259D" w:rsidP="0036259D">
      <w:pPr>
        <w:pStyle w:val="ECCParagraph"/>
        <w:rPr>
          <w:szCs w:val="20"/>
        </w:rPr>
      </w:pPr>
      <w:r w:rsidRPr="003A401A">
        <w:rPr>
          <w:rFonts w:cs="Arial"/>
          <w:szCs w:val="20"/>
        </w:rPr>
        <w:t>At ITU level</w:t>
      </w:r>
      <w:r w:rsidR="00E9012C">
        <w:rPr>
          <w:rFonts w:cs="Arial"/>
          <w:szCs w:val="20"/>
        </w:rPr>
        <w:t xml:space="preserve">, the 1.452 – 1.492 MHz </w:t>
      </w:r>
      <w:r w:rsidRPr="003A401A">
        <w:rPr>
          <w:rFonts w:cs="Arial"/>
          <w:szCs w:val="20"/>
        </w:rPr>
        <w:t xml:space="preserve">Band is allocated in Region 1 to the Broadcasting-Satellite Service (sound), on a co-primary basis. The ability to deploy Broadcasting-Satellite Services is limited to the upper 25 MHz of the band, in accordance with Resolution 528. </w:t>
      </w:r>
      <w:r w:rsidR="00B32D0D">
        <w:rPr>
          <w:szCs w:val="20"/>
        </w:rPr>
        <w:t>Satellite broadcasting limited to audio broadcasting (footnote 5.345) is compliant with the Radio Regulations</w:t>
      </w:r>
      <w:r w:rsidR="00E9012C">
        <w:rPr>
          <w:szCs w:val="20"/>
        </w:rPr>
        <w:t>.</w:t>
      </w:r>
    </w:p>
    <w:p w:rsidR="009C7EAC" w:rsidRPr="003A401A" w:rsidRDefault="009C7EAC" w:rsidP="0036259D">
      <w:pPr>
        <w:pStyle w:val="ECCParagraph"/>
        <w:rPr>
          <w:rFonts w:cs="Arial"/>
          <w:szCs w:val="20"/>
        </w:rPr>
      </w:pPr>
      <w:r w:rsidRPr="00E379D3">
        <w:rPr>
          <w:rFonts w:cs="Arial"/>
          <w:szCs w:val="20"/>
        </w:rPr>
        <w:t>The issue of compatibility with MA02revCO07 is summed up in the table below:</w:t>
      </w:r>
    </w:p>
    <w:p w:rsidR="0036259D" w:rsidRPr="00D34BD6" w:rsidRDefault="0036259D" w:rsidP="0036259D">
      <w:pPr>
        <w:rPr>
          <w:rFonts w:cs="Arial"/>
          <w:i/>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3602"/>
      </w:tblGrid>
      <w:tr w:rsidR="005037BF" w:rsidRPr="00E73A5D" w:rsidTr="00D50744">
        <w:tc>
          <w:tcPr>
            <w:tcW w:w="4606" w:type="dxa"/>
          </w:tcPr>
          <w:p w:rsidR="005037BF" w:rsidRPr="00E73A5D" w:rsidRDefault="005037BF" w:rsidP="00D50744">
            <w:pPr>
              <w:rPr>
                <w:b/>
                <w:szCs w:val="20"/>
                <w:lang w:val="en-GB"/>
              </w:rPr>
            </w:pPr>
            <w:r w:rsidRPr="00E73A5D">
              <w:rPr>
                <w:b/>
                <w:szCs w:val="20"/>
                <w:lang w:val="en-GB"/>
              </w:rPr>
              <w:t>Compatibility with MA02</w:t>
            </w:r>
            <w:r w:rsidR="00B55CA5">
              <w:rPr>
                <w:b/>
                <w:szCs w:val="20"/>
                <w:lang w:val="en-GB"/>
              </w:rPr>
              <w:t>revCO07</w:t>
            </w:r>
          </w:p>
        </w:tc>
        <w:tc>
          <w:tcPr>
            <w:tcW w:w="3602" w:type="dxa"/>
          </w:tcPr>
          <w:p w:rsidR="005037BF" w:rsidRPr="00E73A5D" w:rsidRDefault="005037BF" w:rsidP="00D50744">
            <w:pPr>
              <w:rPr>
                <w:szCs w:val="20"/>
                <w:lang w:val="en-GB"/>
              </w:rPr>
            </w:pPr>
            <w:r>
              <w:rPr>
                <w:szCs w:val="20"/>
                <w:lang w:val="en-GB"/>
              </w:rPr>
              <w:t>Satellite</w:t>
            </w:r>
            <w:r w:rsidRPr="00E73A5D">
              <w:rPr>
                <w:szCs w:val="20"/>
                <w:lang w:val="en-GB"/>
              </w:rPr>
              <w:t xml:space="preserve"> Broadcasting</w:t>
            </w:r>
          </w:p>
        </w:tc>
      </w:tr>
      <w:tr w:rsidR="005037BF" w:rsidRPr="00E73A5D" w:rsidTr="00D50744">
        <w:tc>
          <w:tcPr>
            <w:tcW w:w="4606" w:type="dxa"/>
          </w:tcPr>
          <w:p w:rsidR="005037BF" w:rsidRPr="00E73A5D" w:rsidRDefault="005037BF" w:rsidP="00D50744">
            <w:pPr>
              <w:rPr>
                <w:szCs w:val="20"/>
                <w:lang w:val="en-GB"/>
              </w:rPr>
            </w:pPr>
            <w:r w:rsidRPr="00E73A5D">
              <w:rPr>
                <w:szCs w:val="20"/>
                <w:lang w:val="en-GB"/>
              </w:rPr>
              <w:t xml:space="preserve">Compatibility with the current  Plan </w:t>
            </w:r>
          </w:p>
        </w:tc>
        <w:tc>
          <w:tcPr>
            <w:tcW w:w="3602" w:type="dxa"/>
          </w:tcPr>
          <w:p w:rsidR="005037BF" w:rsidRPr="00E73A5D" w:rsidRDefault="005037BF" w:rsidP="00D50744">
            <w:pPr>
              <w:rPr>
                <w:szCs w:val="20"/>
                <w:lang w:val="en-GB"/>
              </w:rPr>
            </w:pPr>
            <w:r>
              <w:rPr>
                <w:szCs w:val="20"/>
                <w:lang w:val="en-GB"/>
              </w:rPr>
              <w:t>No</w:t>
            </w:r>
          </w:p>
        </w:tc>
      </w:tr>
      <w:tr w:rsidR="005037BF" w:rsidRPr="00E73A5D" w:rsidTr="00D50744">
        <w:tc>
          <w:tcPr>
            <w:tcW w:w="4606" w:type="dxa"/>
          </w:tcPr>
          <w:p w:rsidR="005037BF" w:rsidRPr="00E73A5D" w:rsidRDefault="005037BF" w:rsidP="00D50744">
            <w:pPr>
              <w:rPr>
                <w:szCs w:val="20"/>
                <w:lang w:val="en-GB"/>
              </w:rPr>
            </w:pPr>
            <w:r w:rsidRPr="00E73A5D">
              <w:rPr>
                <w:szCs w:val="20"/>
                <w:lang w:val="en-GB"/>
              </w:rPr>
              <w:t xml:space="preserve">Compatibility with </w:t>
            </w:r>
            <w:r>
              <w:rPr>
                <w:szCs w:val="20"/>
                <w:lang w:val="en-GB"/>
              </w:rPr>
              <w:t>envelope concept</w:t>
            </w:r>
          </w:p>
        </w:tc>
        <w:tc>
          <w:tcPr>
            <w:tcW w:w="3602" w:type="dxa"/>
          </w:tcPr>
          <w:p w:rsidR="005037BF" w:rsidRDefault="005F4AC2" w:rsidP="00D50744">
            <w:pPr>
              <w:rPr>
                <w:szCs w:val="20"/>
                <w:lang w:val="en-GB"/>
              </w:rPr>
            </w:pPr>
            <w:r>
              <w:rPr>
                <w:szCs w:val="20"/>
                <w:lang w:val="en-GB"/>
              </w:rPr>
              <w:t>No</w:t>
            </w:r>
          </w:p>
          <w:p w:rsidR="005F4AC2" w:rsidRPr="00E73A5D" w:rsidRDefault="005F4AC2" w:rsidP="003E0E28">
            <w:pPr>
              <w:rPr>
                <w:szCs w:val="20"/>
                <w:lang w:val="en-GB"/>
              </w:rPr>
            </w:pPr>
            <w:r w:rsidRPr="00B32D0D">
              <w:rPr>
                <w:rFonts w:cs="Arial"/>
                <w:szCs w:val="20"/>
                <w:highlight w:val="yellow"/>
              </w:rPr>
              <w:t xml:space="preserve">Whereas the satellite component </w:t>
            </w:r>
            <w:r w:rsidR="00E379D3">
              <w:rPr>
                <w:rFonts w:cs="Arial"/>
                <w:szCs w:val="20"/>
                <w:highlight w:val="yellow"/>
              </w:rPr>
              <w:t xml:space="preserve">within 1452-1479.5 MHz </w:t>
            </w:r>
            <w:r w:rsidRPr="00B32D0D">
              <w:rPr>
                <w:rFonts w:cs="Arial"/>
                <w:szCs w:val="20"/>
                <w:highlight w:val="yellow"/>
              </w:rPr>
              <w:t>will have to protect MA02</w:t>
            </w:r>
            <w:r w:rsidR="00AA344E">
              <w:rPr>
                <w:rFonts w:cs="Arial"/>
                <w:szCs w:val="20"/>
                <w:highlight w:val="yellow"/>
              </w:rPr>
              <w:t>revCO07</w:t>
            </w:r>
            <w:r w:rsidRPr="00B32D0D">
              <w:rPr>
                <w:rFonts w:cs="Arial"/>
                <w:szCs w:val="20"/>
                <w:highlight w:val="yellow"/>
              </w:rPr>
              <w:t xml:space="preserve"> in countries where the Terrestrial Broadcasting is implemented, the terrestrial component(s) could use such aggregation of channels </w:t>
            </w:r>
          </w:p>
        </w:tc>
      </w:tr>
      <w:tr w:rsidR="005037BF" w:rsidRPr="00E73A5D" w:rsidTr="00D50744">
        <w:tc>
          <w:tcPr>
            <w:tcW w:w="4606" w:type="dxa"/>
          </w:tcPr>
          <w:p w:rsidR="005037BF" w:rsidRPr="00E73A5D" w:rsidRDefault="005037BF" w:rsidP="00D50744">
            <w:pPr>
              <w:rPr>
                <w:szCs w:val="20"/>
                <w:lang w:val="en-GB"/>
              </w:rPr>
            </w:pPr>
            <w:r w:rsidRPr="00E73A5D">
              <w:rPr>
                <w:szCs w:val="20"/>
                <w:lang w:val="en-GB"/>
              </w:rPr>
              <w:t>MA02 as a tool for cross-border coordination</w:t>
            </w:r>
          </w:p>
        </w:tc>
        <w:tc>
          <w:tcPr>
            <w:tcW w:w="3602" w:type="dxa"/>
          </w:tcPr>
          <w:p w:rsidR="005037BF" w:rsidRPr="00E73A5D" w:rsidRDefault="00DE328B" w:rsidP="00D50744">
            <w:pPr>
              <w:rPr>
                <w:szCs w:val="20"/>
                <w:lang w:val="en-GB"/>
              </w:rPr>
            </w:pPr>
            <w:r>
              <w:rPr>
                <w:szCs w:val="20"/>
                <w:lang w:val="en-GB"/>
              </w:rPr>
              <w:t>Not applicable, ITU coordination applies</w:t>
            </w:r>
          </w:p>
        </w:tc>
      </w:tr>
    </w:tbl>
    <w:p w:rsidR="005037BF" w:rsidRDefault="005037BF" w:rsidP="0036259D">
      <w:pPr>
        <w:rPr>
          <w:rFonts w:cs="Arial"/>
          <w:szCs w:val="20"/>
        </w:rPr>
      </w:pPr>
    </w:p>
    <w:p w:rsidR="00E9012C" w:rsidRDefault="00E9012C" w:rsidP="00466268">
      <w:pPr>
        <w:rPr>
          <w:rFonts w:cs="Arial"/>
          <w:szCs w:val="20"/>
        </w:rPr>
      </w:pPr>
    </w:p>
    <w:p w:rsidR="00466268" w:rsidRDefault="00466268" w:rsidP="00466268">
      <w:pPr>
        <w:rPr>
          <w:rFonts w:cs="Arial"/>
          <w:szCs w:val="20"/>
        </w:rPr>
      </w:pPr>
      <w:r>
        <w:rPr>
          <w:rFonts w:cs="Arial"/>
          <w:szCs w:val="20"/>
        </w:rPr>
        <w:t xml:space="preserve">Satellite broadcasting limited to audio is compatible with ECC </w:t>
      </w:r>
      <w:proofErr w:type="gramStart"/>
      <w:r>
        <w:rPr>
          <w:rFonts w:cs="Arial"/>
          <w:szCs w:val="20"/>
        </w:rPr>
        <w:t>DEC(</w:t>
      </w:r>
      <w:proofErr w:type="gramEnd"/>
      <w:r>
        <w:rPr>
          <w:rFonts w:cs="Arial"/>
          <w:szCs w:val="20"/>
        </w:rPr>
        <w:t>03)02</w:t>
      </w:r>
      <w:r w:rsidRPr="00466268">
        <w:rPr>
          <w:rFonts w:asciiTheme="minorHAnsi" w:eastAsiaTheme="minorEastAsia" w:hAnsi="Calibri" w:cstheme="minorBidi"/>
          <w:color w:val="000000" w:themeColor="dark1"/>
          <w:kern w:val="24"/>
          <w:sz w:val="28"/>
          <w:szCs w:val="28"/>
        </w:rPr>
        <w:t xml:space="preserve"> </w:t>
      </w:r>
      <w:r>
        <w:rPr>
          <w:rFonts w:cs="Arial"/>
          <w:szCs w:val="20"/>
        </w:rPr>
        <w:t xml:space="preserve">and </w:t>
      </w:r>
      <w:r w:rsidRPr="00466268">
        <w:rPr>
          <w:rFonts w:cs="Arial"/>
          <w:szCs w:val="20"/>
        </w:rPr>
        <w:t>may be complemented by a terrestrial component in areas where satellite signal is not available (considering f of ECC DEC(03)02)</w:t>
      </w:r>
      <w:r>
        <w:rPr>
          <w:rFonts w:cs="Arial"/>
          <w:szCs w:val="20"/>
        </w:rPr>
        <w:t>.</w:t>
      </w:r>
    </w:p>
    <w:p w:rsidR="00466268" w:rsidRDefault="00466268" w:rsidP="0036259D">
      <w:pPr>
        <w:rPr>
          <w:rFonts w:cs="Arial"/>
          <w:szCs w:val="20"/>
        </w:rPr>
      </w:pPr>
    </w:p>
    <w:p w:rsidR="0036259D" w:rsidRPr="003A401A" w:rsidRDefault="0036259D" w:rsidP="0036259D">
      <w:pPr>
        <w:pStyle w:val="Titre3"/>
      </w:pPr>
      <w:bookmarkStart w:id="5" w:name="_Toc311197415"/>
      <w:r w:rsidRPr="003A401A">
        <w:t>Compatibility with the current regulatory framework,</w:t>
      </w:r>
      <w:bookmarkEnd w:id="5"/>
      <w:r w:rsidRPr="003A401A">
        <w:t xml:space="preserve"> </w:t>
      </w:r>
      <w:r w:rsidR="00E73A5D">
        <w:t>[PMSE]</w:t>
      </w:r>
    </w:p>
    <w:p w:rsidR="003E0E28" w:rsidRPr="00D34BD6" w:rsidRDefault="003E0E28" w:rsidP="0036259D">
      <w:pPr>
        <w:pStyle w:val="Default"/>
        <w:spacing w:after="120" w:line="264" w:lineRule="auto"/>
        <w:rPr>
          <w:i/>
          <w:color w:val="auto"/>
          <w:sz w:val="20"/>
          <w:szCs w:val="20"/>
          <w:lang w:val="en-GB"/>
        </w:rPr>
      </w:pPr>
      <w:r w:rsidRPr="00D34BD6">
        <w:rPr>
          <w:i/>
          <w:color w:val="auto"/>
          <w:sz w:val="20"/>
          <w:szCs w:val="20"/>
          <w:highlight w:val="yellow"/>
          <w:lang w:val="en-GB"/>
        </w:rPr>
        <w:t>Editor’s note: this text (in particular the one highlighted) may need to be reviewed when the application description is completed in section 3.</w:t>
      </w:r>
    </w:p>
    <w:p w:rsidR="0036259D" w:rsidRPr="003A401A" w:rsidRDefault="0036259D" w:rsidP="0036259D">
      <w:pPr>
        <w:pStyle w:val="Default"/>
        <w:spacing w:after="120" w:line="264" w:lineRule="auto"/>
        <w:rPr>
          <w:color w:val="auto"/>
          <w:sz w:val="20"/>
          <w:szCs w:val="20"/>
          <w:lang w:val="en-GB"/>
        </w:rPr>
      </w:pPr>
      <w:r w:rsidRPr="003A401A">
        <w:rPr>
          <w:color w:val="auto"/>
          <w:sz w:val="20"/>
          <w:szCs w:val="20"/>
          <w:lang w:val="en-GB"/>
        </w:rPr>
        <w:t>PMSE is a mobile service according to the definition of the ITU Radio Regulation</w:t>
      </w:r>
      <w:r w:rsidR="003A2AB4">
        <w:rPr>
          <w:color w:val="auto"/>
          <w:sz w:val="20"/>
          <w:szCs w:val="20"/>
          <w:lang w:val="en-GB"/>
        </w:rPr>
        <w:t xml:space="preserve"> and </w:t>
      </w:r>
      <w:r w:rsidR="00B32D0D">
        <w:rPr>
          <w:color w:val="auto"/>
          <w:sz w:val="20"/>
          <w:szCs w:val="20"/>
          <w:lang w:val="en-GB"/>
        </w:rPr>
        <w:t xml:space="preserve">as such </w:t>
      </w:r>
      <w:r w:rsidR="003A2AB4">
        <w:rPr>
          <w:color w:val="auto"/>
          <w:sz w:val="20"/>
          <w:szCs w:val="20"/>
          <w:lang w:val="en-GB"/>
        </w:rPr>
        <w:t>is compliant to article 5 within the 1452-1492 MHz band.</w:t>
      </w:r>
    </w:p>
    <w:p w:rsidR="0036259D" w:rsidRDefault="009C7EAC" w:rsidP="0036259D">
      <w:pPr>
        <w:rPr>
          <w:rFonts w:cs="Arial"/>
          <w:szCs w:val="20"/>
        </w:rPr>
      </w:pPr>
      <w:r w:rsidRPr="00E304B5">
        <w:rPr>
          <w:rFonts w:cs="Arial"/>
          <w:szCs w:val="20"/>
        </w:rPr>
        <w:t>The issue of compatibility with MA02revCO07 is summed up in the table below</w:t>
      </w:r>
    </w:p>
    <w:p w:rsidR="009C7EAC" w:rsidRDefault="009C7EAC" w:rsidP="0036259D">
      <w:pPr>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3602"/>
      </w:tblGrid>
      <w:tr w:rsidR="0036259D" w:rsidTr="00D50744">
        <w:tc>
          <w:tcPr>
            <w:tcW w:w="4606" w:type="dxa"/>
          </w:tcPr>
          <w:p w:rsidR="0036259D" w:rsidRPr="00896481" w:rsidRDefault="0036259D" w:rsidP="00D50744">
            <w:pPr>
              <w:rPr>
                <w:b/>
              </w:rPr>
            </w:pPr>
            <w:r w:rsidRPr="00896481">
              <w:rPr>
                <w:b/>
              </w:rPr>
              <w:t>Compatibility with MA02</w:t>
            </w:r>
            <w:r w:rsidR="00B55CA5">
              <w:rPr>
                <w:b/>
              </w:rPr>
              <w:t>revCO07</w:t>
            </w:r>
          </w:p>
        </w:tc>
        <w:tc>
          <w:tcPr>
            <w:tcW w:w="3602" w:type="dxa"/>
          </w:tcPr>
          <w:p w:rsidR="0036259D" w:rsidRDefault="0036259D" w:rsidP="00D50744">
            <w:r>
              <w:t>PMSE</w:t>
            </w:r>
          </w:p>
        </w:tc>
      </w:tr>
      <w:tr w:rsidR="0036259D" w:rsidRPr="00896481" w:rsidTr="00D50744">
        <w:tc>
          <w:tcPr>
            <w:tcW w:w="4606" w:type="dxa"/>
          </w:tcPr>
          <w:p w:rsidR="0036259D" w:rsidRPr="00896481" w:rsidRDefault="0036259D" w:rsidP="00D50744">
            <w:pPr>
              <w:rPr>
                <w:lang w:val="en-GB"/>
              </w:rPr>
            </w:pPr>
            <w:r w:rsidRPr="00896481">
              <w:rPr>
                <w:lang w:val="en-GB"/>
              </w:rPr>
              <w:t xml:space="preserve">Compatibility with the </w:t>
            </w:r>
            <w:r w:rsidR="00E42148">
              <w:rPr>
                <w:lang w:val="en-GB"/>
              </w:rPr>
              <w:t xml:space="preserve">current </w:t>
            </w:r>
            <w:r w:rsidRPr="00896481">
              <w:rPr>
                <w:lang w:val="en-GB"/>
              </w:rPr>
              <w:t>Plan</w:t>
            </w:r>
          </w:p>
        </w:tc>
        <w:tc>
          <w:tcPr>
            <w:tcW w:w="3602" w:type="dxa"/>
          </w:tcPr>
          <w:p w:rsidR="0036259D" w:rsidRPr="00896481" w:rsidRDefault="005037BF" w:rsidP="0036259D">
            <w:pPr>
              <w:rPr>
                <w:lang w:val="en-GB"/>
              </w:rPr>
            </w:pPr>
            <w:r>
              <w:rPr>
                <w:lang w:val="en-GB"/>
              </w:rPr>
              <w:t>Can use the interleaved spectrum of the allotment plan as a secondary service</w:t>
            </w:r>
          </w:p>
        </w:tc>
      </w:tr>
      <w:tr w:rsidR="0036259D" w:rsidRPr="003227AC" w:rsidTr="00D50744">
        <w:tc>
          <w:tcPr>
            <w:tcW w:w="4606" w:type="dxa"/>
          </w:tcPr>
          <w:p w:rsidR="0036259D" w:rsidRPr="00896481" w:rsidRDefault="005037BF" w:rsidP="00D50744">
            <w:pPr>
              <w:rPr>
                <w:lang w:val="en-GB"/>
              </w:rPr>
            </w:pPr>
            <w:r w:rsidRPr="00E73A5D">
              <w:rPr>
                <w:szCs w:val="20"/>
                <w:lang w:val="en-GB"/>
              </w:rPr>
              <w:t xml:space="preserve">Compatibility with </w:t>
            </w:r>
            <w:r>
              <w:rPr>
                <w:szCs w:val="20"/>
                <w:lang w:val="en-GB"/>
              </w:rPr>
              <w:t>envelope concept</w:t>
            </w:r>
          </w:p>
        </w:tc>
        <w:tc>
          <w:tcPr>
            <w:tcW w:w="3602" w:type="dxa"/>
          </w:tcPr>
          <w:p w:rsidR="005037BF" w:rsidRPr="005037BF" w:rsidRDefault="005037BF" w:rsidP="005037BF">
            <w:pPr>
              <w:rPr>
                <w:szCs w:val="20"/>
              </w:rPr>
            </w:pPr>
            <w:r w:rsidRPr="005037BF">
              <w:rPr>
                <w:szCs w:val="20"/>
              </w:rPr>
              <w:t>Yes, can fit several audio channels within a T-DAB channel (as a secondary service would not need to notify)</w:t>
            </w:r>
          </w:p>
          <w:p w:rsidR="0036259D" w:rsidRPr="00896481" w:rsidRDefault="0036259D" w:rsidP="0036259D">
            <w:pPr>
              <w:rPr>
                <w:lang w:val="en-GB"/>
              </w:rPr>
            </w:pPr>
          </w:p>
        </w:tc>
      </w:tr>
      <w:tr w:rsidR="0036259D" w:rsidRPr="003227AC" w:rsidTr="00D50744">
        <w:tc>
          <w:tcPr>
            <w:tcW w:w="4606" w:type="dxa"/>
          </w:tcPr>
          <w:p w:rsidR="0036259D" w:rsidRPr="00896481" w:rsidRDefault="0036259D" w:rsidP="00D50744">
            <w:pPr>
              <w:rPr>
                <w:lang w:val="en-GB"/>
              </w:rPr>
            </w:pPr>
            <w:r w:rsidRPr="00896481">
              <w:rPr>
                <w:lang w:val="en-GB"/>
              </w:rPr>
              <w:t>MA02 as a tool for cross-border coordination</w:t>
            </w:r>
          </w:p>
        </w:tc>
        <w:tc>
          <w:tcPr>
            <w:tcW w:w="3602" w:type="dxa"/>
          </w:tcPr>
          <w:p w:rsidR="0036259D" w:rsidRPr="00896481" w:rsidRDefault="00DE328B" w:rsidP="0036259D">
            <w:pPr>
              <w:rPr>
                <w:lang w:val="en-GB"/>
              </w:rPr>
            </w:pPr>
            <w:r>
              <w:rPr>
                <w:lang w:val="en-GB"/>
              </w:rPr>
              <w:t>Not applicable as a secondary service does not use the Maastricht agreement procedure</w:t>
            </w:r>
          </w:p>
        </w:tc>
      </w:tr>
    </w:tbl>
    <w:p w:rsidR="0036259D" w:rsidRDefault="0036259D" w:rsidP="0036259D"/>
    <w:p w:rsidR="00AA344E" w:rsidRDefault="00AA344E" w:rsidP="0036259D">
      <w:pPr>
        <w:rPr>
          <w:szCs w:val="20"/>
          <w:highlight w:val="yellow"/>
        </w:rPr>
      </w:pPr>
      <w:r>
        <w:rPr>
          <w:szCs w:val="20"/>
          <w:highlight w:val="yellow"/>
        </w:rPr>
        <w:t>Note: To be moved (including the table) to section 3 in spectrum requirement:</w:t>
      </w:r>
    </w:p>
    <w:p w:rsidR="00466268" w:rsidRPr="00466268" w:rsidRDefault="00AA344E" w:rsidP="0036259D">
      <w:pPr>
        <w:rPr>
          <w:rFonts w:cs="Arial"/>
          <w:szCs w:val="20"/>
          <w:highlight w:val="yellow"/>
          <w:lang w:val="en-GB"/>
        </w:rPr>
      </w:pPr>
      <w:r>
        <w:rPr>
          <w:szCs w:val="20"/>
          <w:highlight w:val="yellow"/>
        </w:rPr>
        <w:t>[</w:t>
      </w:r>
      <w:r w:rsidR="00B32D0D" w:rsidRPr="00466268">
        <w:rPr>
          <w:szCs w:val="20"/>
          <w:highlight w:val="yellow"/>
        </w:rPr>
        <w:t>I</w:t>
      </w:r>
      <w:r w:rsidR="00B32D0D" w:rsidRPr="00466268">
        <w:rPr>
          <w:szCs w:val="20"/>
          <w:highlight w:val="yellow"/>
          <w:lang w:val="en-GB"/>
        </w:rPr>
        <w:t xml:space="preserve">t should be noted that in a 1.7/5 MHz channel </w:t>
      </w:r>
      <w:r w:rsidR="00B32D0D" w:rsidRPr="00466268">
        <w:rPr>
          <w:rFonts w:cs="Arial"/>
          <w:szCs w:val="20"/>
          <w:highlight w:val="yellow"/>
          <w:lang w:val="en-GB"/>
        </w:rPr>
        <w:t xml:space="preserve">up to 5/7 wireless microphones </w:t>
      </w:r>
      <w:r w:rsidR="00B32D0D" w:rsidRPr="00466268">
        <w:rPr>
          <w:szCs w:val="20"/>
          <w:highlight w:val="yellow"/>
          <w:lang w:val="en-GB"/>
        </w:rPr>
        <w:t xml:space="preserve">can </w:t>
      </w:r>
      <w:r w:rsidR="00B32D0D" w:rsidRPr="00466268">
        <w:rPr>
          <w:rFonts w:cs="Arial"/>
          <w:szCs w:val="20"/>
          <w:highlight w:val="yellow"/>
          <w:lang w:val="en-GB"/>
        </w:rPr>
        <w:t>operate on an intermodulation-free frequency arrangement.</w:t>
      </w:r>
    </w:p>
    <w:p w:rsidR="00466268" w:rsidRDefault="00B32D0D" w:rsidP="00466268">
      <w:pPr>
        <w:pStyle w:val="ECCParagraph"/>
        <w:rPr>
          <w:rFonts w:cs="Arial"/>
          <w:szCs w:val="20"/>
        </w:rPr>
      </w:pPr>
      <w:r w:rsidRPr="00466268">
        <w:rPr>
          <w:rFonts w:cs="Arial"/>
          <w:szCs w:val="20"/>
          <w:highlight w:val="yellow"/>
        </w:rPr>
        <w:t>In three neighbouring event locations an interleaved frequency arrangement can be used. In a 1.7/5 MHz channel up to 9/20 wireless microphones can operate.</w:t>
      </w:r>
      <w:r w:rsidR="00466268" w:rsidRPr="00466268">
        <w:rPr>
          <w:rFonts w:cs="Arial"/>
          <w:szCs w:val="20"/>
          <w:highlight w:val="yellow"/>
        </w:rPr>
        <w:t xml:space="preserve"> The table shows the arrangement on interleaved location in the T-DAB “LA” block:</w:t>
      </w:r>
    </w:p>
    <w:p w:rsidR="00466268" w:rsidRPr="003A401A" w:rsidRDefault="00466268" w:rsidP="00466268">
      <w:pPr>
        <w:pStyle w:val="Lgende"/>
      </w:pPr>
      <w:r w:rsidRPr="00AA344E">
        <w:rPr>
          <w:highlight w:val="yellow"/>
        </w:rPr>
        <w:t xml:space="preserve">Table </w:t>
      </w:r>
      <w:r w:rsidRPr="00AA344E">
        <w:rPr>
          <w:highlight w:val="yellow"/>
        </w:rPr>
        <w:fldChar w:fldCharType="begin"/>
      </w:r>
      <w:r w:rsidRPr="00AA344E">
        <w:rPr>
          <w:highlight w:val="yellow"/>
        </w:rPr>
        <w:instrText xml:space="preserve"> SEQ Table \* ARABIC </w:instrText>
      </w:r>
      <w:r w:rsidRPr="00AA344E">
        <w:rPr>
          <w:highlight w:val="yellow"/>
        </w:rPr>
        <w:fldChar w:fldCharType="separate"/>
      </w:r>
      <w:r w:rsidRPr="00AA344E">
        <w:rPr>
          <w:noProof/>
          <w:highlight w:val="yellow"/>
        </w:rPr>
        <w:t>7</w:t>
      </w:r>
      <w:r w:rsidRPr="00AA344E">
        <w:rPr>
          <w:highlight w:val="yellow"/>
        </w:rPr>
        <w:fldChar w:fldCharType="end"/>
      </w:r>
      <w:r w:rsidRPr="00AA344E">
        <w:rPr>
          <w:highlight w:val="yellow"/>
        </w:rPr>
        <w:t>: Title</w:t>
      </w:r>
    </w:p>
    <w:tbl>
      <w:tblPr>
        <w:tblW w:w="7980" w:type="dxa"/>
        <w:jc w:val="center"/>
        <w:tblInd w:w="55" w:type="dxa"/>
        <w:tblCellMar>
          <w:left w:w="70" w:type="dxa"/>
          <w:right w:w="70" w:type="dxa"/>
        </w:tblCellMar>
        <w:tblLook w:val="00A0" w:firstRow="1" w:lastRow="0" w:firstColumn="1" w:lastColumn="0" w:noHBand="0" w:noVBand="0"/>
      </w:tblPr>
      <w:tblGrid>
        <w:gridCol w:w="1200"/>
        <w:gridCol w:w="1460"/>
        <w:gridCol w:w="1200"/>
        <w:gridCol w:w="1460"/>
        <w:gridCol w:w="1200"/>
        <w:gridCol w:w="1460"/>
      </w:tblGrid>
      <w:tr w:rsidR="00466268" w:rsidRPr="003A401A" w:rsidTr="0055482F">
        <w:trPr>
          <w:trHeight w:val="540"/>
          <w:jc w:val="center"/>
        </w:trPr>
        <w:tc>
          <w:tcPr>
            <w:tcW w:w="1200" w:type="dxa"/>
            <w:tcBorders>
              <w:top w:val="single" w:sz="8" w:space="0" w:color="auto"/>
              <w:left w:val="single" w:sz="8" w:space="0" w:color="auto"/>
              <w:bottom w:val="single" w:sz="8"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val="en-GB" w:eastAsia="de-DE"/>
              </w:rPr>
              <w:t>Main table</w:t>
            </w:r>
          </w:p>
        </w:tc>
        <w:tc>
          <w:tcPr>
            <w:tcW w:w="1460" w:type="dxa"/>
            <w:tcBorders>
              <w:top w:val="single" w:sz="8" w:space="0" w:color="auto"/>
              <w:left w:val="nil"/>
              <w:bottom w:val="single" w:sz="8" w:space="0" w:color="auto"/>
              <w:right w:val="single" w:sz="8" w:space="0" w:color="auto"/>
            </w:tcBorders>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eastAsia="de-DE"/>
              </w:rPr>
              <w:t>T-DAB</w:t>
            </w:r>
            <w:r w:rsidRPr="003A401A">
              <w:rPr>
                <w:rFonts w:cs="Arial"/>
                <w:color w:val="000000"/>
                <w:szCs w:val="20"/>
                <w:lang w:eastAsia="de-DE"/>
              </w:rPr>
              <w:br/>
              <w:t xml:space="preserve">block </w:t>
            </w:r>
            <w:r w:rsidRPr="003A401A">
              <w:rPr>
                <w:rFonts w:cs="Arial"/>
                <w:color w:val="000000"/>
                <w:szCs w:val="20"/>
                <w:lang w:val="en-GB" w:eastAsia="de-DE"/>
              </w:rPr>
              <w:t>number</w:t>
            </w:r>
          </w:p>
        </w:tc>
        <w:tc>
          <w:tcPr>
            <w:tcW w:w="1200" w:type="dxa"/>
            <w:tcBorders>
              <w:top w:val="single" w:sz="8" w:space="0" w:color="auto"/>
              <w:left w:val="nil"/>
              <w:bottom w:val="single" w:sz="8" w:space="0" w:color="auto"/>
              <w:right w:val="single" w:sz="8" w:space="0" w:color="auto"/>
            </w:tcBorders>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val="en-GB" w:eastAsia="de-DE"/>
              </w:rPr>
              <w:t xml:space="preserve">Shifted </w:t>
            </w:r>
            <w:r w:rsidRPr="003A401A">
              <w:rPr>
                <w:rFonts w:cs="Arial"/>
                <w:color w:val="000000"/>
                <w:szCs w:val="20"/>
                <w:lang w:val="en-GB" w:eastAsia="de-DE"/>
              </w:rPr>
              <w:br/>
              <w:t>table 1</w:t>
            </w:r>
          </w:p>
        </w:tc>
        <w:tc>
          <w:tcPr>
            <w:tcW w:w="1460" w:type="dxa"/>
            <w:tcBorders>
              <w:top w:val="single" w:sz="8" w:space="0" w:color="auto"/>
              <w:left w:val="nil"/>
              <w:bottom w:val="single" w:sz="8" w:space="0" w:color="auto"/>
              <w:right w:val="single" w:sz="8" w:space="0" w:color="auto"/>
            </w:tcBorders>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eastAsia="de-DE"/>
              </w:rPr>
              <w:t>T-DAB</w:t>
            </w:r>
            <w:r w:rsidRPr="003A401A">
              <w:rPr>
                <w:rFonts w:cs="Arial"/>
                <w:color w:val="000000"/>
                <w:szCs w:val="20"/>
                <w:lang w:eastAsia="de-DE"/>
              </w:rPr>
              <w:br/>
              <w:t xml:space="preserve">block </w:t>
            </w:r>
            <w:r w:rsidRPr="003A401A">
              <w:rPr>
                <w:rFonts w:cs="Arial"/>
                <w:color w:val="000000"/>
                <w:szCs w:val="20"/>
                <w:lang w:val="en-GB" w:eastAsia="de-DE"/>
              </w:rPr>
              <w:t>number</w:t>
            </w:r>
          </w:p>
        </w:tc>
        <w:tc>
          <w:tcPr>
            <w:tcW w:w="1200" w:type="dxa"/>
            <w:tcBorders>
              <w:top w:val="single" w:sz="8" w:space="0" w:color="auto"/>
              <w:left w:val="nil"/>
              <w:bottom w:val="single" w:sz="8" w:space="0" w:color="auto"/>
              <w:right w:val="single" w:sz="8" w:space="0" w:color="auto"/>
            </w:tcBorders>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val="en-GB" w:eastAsia="de-DE"/>
              </w:rPr>
              <w:t>Shifted</w:t>
            </w:r>
            <w:r w:rsidRPr="003A401A">
              <w:rPr>
                <w:rFonts w:cs="Arial"/>
                <w:color w:val="000000"/>
                <w:szCs w:val="20"/>
                <w:lang w:val="en-GB" w:eastAsia="de-DE"/>
              </w:rPr>
              <w:br/>
              <w:t xml:space="preserve"> table 2</w:t>
            </w:r>
          </w:p>
        </w:tc>
        <w:tc>
          <w:tcPr>
            <w:tcW w:w="1460" w:type="dxa"/>
            <w:tcBorders>
              <w:top w:val="single" w:sz="8" w:space="0" w:color="auto"/>
              <w:left w:val="nil"/>
              <w:bottom w:val="single" w:sz="8" w:space="0" w:color="auto"/>
              <w:right w:val="single" w:sz="8" w:space="0" w:color="auto"/>
            </w:tcBorders>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eastAsia="de-DE"/>
              </w:rPr>
              <w:t>T-DAB</w:t>
            </w:r>
            <w:r w:rsidRPr="003A401A">
              <w:rPr>
                <w:rFonts w:cs="Arial"/>
                <w:color w:val="000000"/>
                <w:szCs w:val="20"/>
                <w:lang w:eastAsia="de-DE"/>
              </w:rPr>
              <w:br/>
              <w:t xml:space="preserve">block </w:t>
            </w:r>
            <w:r w:rsidRPr="003A401A">
              <w:rPr>
                <w:rFonts w:cs="Arial"/>
                <w:color w:val="000000"/>
                <w:szCs w:val="20"/>
                <w:lang w:val="en-GB" w:eastAsia="de-DE"/>
              </w:rPr>
              <w:t>number</w:t>
            </w:r>
          </w:p>
        </w:tc>
      </w:tr>
      <w:tr w:rsidR="00466268" w:rsidRPr="003A401A" w:rsidTr="0055482F">
        <w:trPr>
          <w:trHeight w:val="315"/>
          <w:jc w:val="center"/>
        </w:trPr>
        <w:tc>
          <w:tcPr>
            <w:tcW w:w="1200" w:type="dxa"/>
            <w:tcBorders>
              <w:top w:val="nil"/>
              <w:left w:val="single" w:sz="8" w:space="0" w:color="auto"/>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en-GB" w:eastAsia="de-DE"/>
              </w:rPr>
            </w:pPr>
            <w:r w:rsidRPr="003A401A">
              <w:rPr>
                <w:rFonts w:cs="Arial"/>
                <w:color w:val="000000"/>
                <w:szCs w:val="20"/>
                <w:lang w:val="en-GB" w:eastAsia="de-DE"/>
              </w:rPr>
              <w:t>1.452.192</w:t>
            </w:r>
          </w:p>
        </w:tc>
        <w:tc>
          <w:tcPr>
            <w:tcW w:w="146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en-GB" w:eastAsia="de-DE"/>
              </w:rPr>
            </w:pPr>
            <w:r w:rsidRPr="003A401A">
              <w:rPr>
                <w:rFonts w:cs="Arial"/>
                <w:color w:val="000000"/>
                <w:szCs w:val="20"/>
                <w:lang w:val="en-GB" w:eastAsia="de-DE"/>
              </w:rPr>
              <w:t>LA</w:t>
            </w:r>
          </w:p>
        </w:tc>
        <w:tc>
          <w:tcPr>
            <w:tcW w:w="120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en-GB" w:eastAsia="de-DE"/>
              </w:rPr>
            </w:pPr>
            <w:r w:rsidRPr="003A401A">
              <w:rPr>
                <w:rFonts w:cs="Arial"/>
                <w:color w:val="000000"/>
                <w:szCs w:val="20"/>
                <w:lang w:val="en-GB" w:eastAsia="de-DE"/>
              </w:rPr>
              <w:t>1.452.492</w:t>
            </w:r>
          </w:p>
        </w:tc>
        <w:tc>
          <w:tcPr>
            <w:tcW w:w="146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en-GB" w:eastAsia="de-DE"/>
              </w:rPr>
            </w:pPr>
            <w:r w:rsidRPr="003A401A">
              <w:rPr>
                <w:rFonts w:cs="Arial"/>
                <w:color w:val="000000"/>
                <w:szCs w:val="20"/>
                <w:lang w:val="en-GB" w:eastAsia="de-DE"/>
              </w:rPr>
              <w:t>LA</w:t>
            </w:r>
          </w:p>
        </w:tc>
        <w:tc>
          <w:tcPr>
            <w:tcW w:w="120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en-GB" w:eastAsia="de-DE"/>
              </w:rPr>
            </w:pPr>
            <w:r w:rsidRPr="003A401A">
              <w:rPr>
                <w:rFonts w:cs="Arial"/>
                <w:color w:val="000000"/>
                <w:szCs w:val="20"/>
                <w:lang w:val="en-GB" w:eastAsia="de-DE"/>
              </w:rPr>
              <w:t>1.452.792</w:t>
            </w:r>
          </w:p>
        </w:tc>
        <w:tc>
          <w:tcPr>
            <w:tcW w:w="146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en-GB" w:eastAsia="de-DE"/>
              </w:rPr>
            </w:pPr>
            <w:r w:rsidRPr="003A401A">
              <w:rPr>
                <w:rFonts w:cs="Arial"/>
                <w:color w:val="000000"/>
                <w:szCs w:val="20"/>
                <w:lang w:val="en-GB" w:eastAsia="de-DE"/>
              </w:rPr>
              <w:t>LA</w:t>
            </w:r>
          </w:p>
        </w:tc>
      </w:tr>
      <w:tr w:rsidR="00466268" w:rsidRPr="003A401A" w:rsidTr="0055482F">
        <w:trPr>
          <w:trHeight w:val="315"/>
          <w:jc w:val="center"/>
        </w:trPr>
        <w:tc>
          <w:tcPr>
            <w:tcW w:w="1200" w:type="dxa"/>
            <w:tcBorders>
              <w:top w:val="nil"/>
              <w:left w:val="single" w:sz="8" w:space="0" w:color="auto"/>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eastAsia="de-DE"/>
              </w:rPr>
              <w:t>1.452.592</w:t>
            </w:r>
          </w:p>
        </w:tc>
        <w:tc>
          <w:tcPr>
            <w:tcW w:w="146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eastAsia="de-DE"/>
              </w:rPr>
              <w:t>LA</w:t>
            </w:r>
          </w:p>
        </w:tc>
        <w:tc>
          <w:tcPr>
            <w:tcW w:w="120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val="en-GB" w:eastAsia="de-DE"/>
              </w:rPr>
              <w:t>1.452.892</w:t>
            </w:r>
          </w:p>
        </w:tc>
        <w:tc>
          <w:tcPr>
            <w:tcW w:w="146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eastAsia="de-DE"/>
              </w:rPr>
              <w:t>LA</w:t>
            </w:r>
          </w:p>
        </w:tc>
        <w:tc>
          <w:tcPr>
            <w:tcW w:w="120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val="en-GB" w:eastAsia="de-DE"/>
              </w:rPr>
              <w:t>1.453.192</w:t>
            </w:r>
          </w:p>
        </w:tc>
        <w:tc>
          <w:tcPr>
            <w:tcW w:w="146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eastAsia="de-DE"/>
              </w:rPr>
              <w:t>LA</w:t>
            </w:r>
          </w:p>
        </w:tc>
      </w:tr>
      <w:tr w:rsidR="00466268" w:rsidRPr="003A401A" w:rsidTr="0055482F">
        <w:trPr>
          <w:trHeight w:val="315"/>
          <w:jc w:val="center"/>
        </w:trPr>
        <w:tc>
          <w:tcPr>
            <w:tcW w:w="1200" w:type="dxa"/>
            <w:tcBorders>
              <w:top w:val="nil"/>
              <w:left w:val="single" w:sz="8" w:space="0" w:color="auto"/>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eastAsia="de-DE"/>
              </w:rPr>
              <w:t>1.453.092</w:t>
            </w:r>
          </w:p>
        </w:tc>
        <w:tc>
          <w:tcPr>
            <w:tcW w:w="146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eastAsia="de-DE"/>
              </w:rPr>
              <w:t>LA</w:t>
            </w:r>
          </w:p>
        </w:tc>
        <w:tc>
          <w:tcPr>
            <w:tcW w:w="120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eastAsia="de-DE"/>
              </w:rPr>
              <w:t>1.453.392</w:t>
            </w:r>
          </w:p>
        </w:tc>
        <w:tc>
          <w:tcPr>
            <w:tcW w:w="146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eastAsia="de-DE"/>
              </w:rPr>
              <w:t>LA</w:t>
            </w:r>
          </w:p>
        </w:tc>
        <w:tc>
          <w:tcPr>
            <w:tcW w:w="120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FF00"/>
                <w:szCs w:val="20"/>
                <w:lang w:val="fr-FR" w:eastAsia="de-DE"/>
              </w:rPr>
            </w:pPr>
            <w:r w:rsidRPr="003A401A">
              <w:rPr>
                <w:rFonts w:cs="Arial"/>
                <w:color w:val="000000"/>
                <w:szCs w:val="20"/>
                <w:lang w:eastAsia="de-DE"/>
              </w:rPr>
              <w:t>1.453.692</w:t>
            </w:r>
          </w:p>
        </w:tc>
        <w:tc>
          <w:tcPr>
            <w:tcW w:w="1460" w:type="dxa"/>
            <w:tcBorders>
              <w:top w:val="nil"/>
              <w:left w:val="nil"/>
              <w:bottom w:val="dotted" w:sz="4" w:space="0" w:color="auto"/>
              <w:right w:val="single" w:sz="8" w:space="0" w:color="auto"/>
            </w:tcBorders>
            <w:noWrap/>
            <w:vAlign w:val="center"/>
            <w:hideMark/>
          </w:tcPr>
          <w:p w:rsidR="00466268" w:rsidRPr="003A401A" w:rsidRDefault="00466268" w:rsidP="0055482F">
            <w:pPr>
              <w:spacing w:line="264" w:lineRule="auto"/>
              <w:jc w:val="both"/>
              <w:rPr>
                <w:rFonts w:cs="Arial"/>
                <w:color w:val="000000"/>
                <w:szCs w:val="20"/>
                <w:lang w:val="fr-FR" w:eastAsia="de-DE"/>
              </w:rPr>
            </w:pPr>
            <w:r w:rsidRPr="003A401A">
              <w:rPr>
                <w:rFonts w:cs="Arial"/>
                <w:color w:val="000000"/>
                <w:szCs w:val="20"/>
                <w:lang w:eastAsia="de-DE"/>
              </w:rPr>
              <w:t>LA</w:t>
            </w:r>
          </w:p>
        </w:tc>
      </w:tr>
    </w:tbl>
    <w:p w:rsidR="00466268" w:rsidRDefault="00AA344E" w:rsidP="00466268">
      <w:pPr>
        <w:spacing w:line="264" w:lineRule="auto"/>
        <w:jc w:val="both"/>
        <w:rPr>
          <w:rFonts w:cs="Arial"/>
          <w:szCs w:val="20"/>
          <w:lang w:val="en-GB" w:eastAsia="fr-FR"/>
        </w:rPr>
      </w:pPr>
      <w:r>
        <w:rPr>
          <w:rFonts w:cs="Arial"/>
          <w:szCs w:val="20"/>
          <w:lang w:val="en-GB" w:eastAsia="fr-FR"/>
        </w:rPr>
        <w:t>]</w:t>
      </w:r>
    </w:p>
    <w:p w:rsidR="00AA344E" w:rsidRDefault="00AA344E" w:rsidP="00466268">
      <w:pPr>
        <w:spacing w:line="264" w:lineRule="auto"/>
        <w:jc w:val="both"/>
        <w:rPr>
          <w:rFonts w:cs="Arial"/>
          <w:szCs w:val="20"/>
          <w:lang w:val="en-GB" w:eastAsia="fr-FR"/>
        </w:rPr>
      </w:pPr>
    </w:p>
    <w:p w:rsidR="00466268" w:rsidRDefault="00466268" w:rsidP="00466268">
      <w:pPr>
        <w:pStyle w:val="ECCParagraph"/>
        <w:spacing w:after="120"/>
      </w:pPr>
      <w:r>
        <w:t xml:space="preserve">ECC </w:t>
      </w:r>
      <w:proofErr w:type="gramStart"/>
      <w:r>
        <w:t>DEC(</w:t>
      </w:r>
      <w:proofErr w:type="gramEnd"/>
      <w:r>
        <w:t xml:space="preserve">03)02 designates the frequency band 1479.5 - 1492 MHz for use by satellite digital audio broadcasting systems. PMSE is not compatible with ECC </w:t>
      </w:r>
      <w:proofErr w:type="gramStart"/>
      <w:r>
        <w:t>DEC(</w:t>
      </w:r>
      <w:proofErr w:type="gramEnd"/>
      <w:r>
        <w:t>03)02.</w:t>
      </w:r>
      <w:r w:rsidR="00846DAA">
        <w:t xml:space="preserve"> However, the spectrum requirement for PMSE may not necessarily cover the band 1479.5-1492 </w:t>
      </w:r>
      <w:proofErr w:type="spellStart"/>
      <w:r w:rsidR="00846DAA">
        <w:t>MHz.</w:t>
      </w:r>
      <w:proofErr w:type="spellEnd"/>
    </w:p>
    <w:p w:rsidR="00145BAD" w:rsidRDefault="00145BAD" w:rsidP="0036259D"/>
    <w:p w:rsidR="00145BAD" w:rsidRPr="006559D2" w:rsidRDefault="00145BAD" w:rsidP="00145BAD">
      <w:pPr>
        <w:pStyle w:val="Titre3"/>
      </w:pPr>
      <w:bookmarkStart w:id="6" w:name="_Toc311197434"/>
      <w:r>
        <w:t>Co</w:t>
      </w:r>
      <w:r w:rsidRPr="006559D2">
        <w:t>mpatibility with the current regulatory framework</w:t>
      </w:r>
      <w:bookmarkEnd w:id="6"/>
      <w:r>
        <w:t xml:space="preserve"> [PPDR]</w:t>
      </w:r>
    </w:p>
    <w:p w:rsidR="00466268" w:rsidRDefault="00466268" w:rsidP="00466268">
      <w:pPr>
        <w:rPr>
          <w:lang w:val="en-GB"/>
        </w:rPr>
      </w:pPr>
      <w:r w:rsidRPr="00B32D0D">
        <w:rPr>
          <w:lang w:val="en-GB"/>
        </w:rPr>
        <w:t xml:space="preserve">As a mobile system, </w:t>
      </w:r>
      <w:r>
        <w:rPr>
          <w:lang w:val="en-GB"/>
        </w:rPr>
        <w:t>PPDR</w:t>
      </w:r>
      <w:r w:rsidRPr="00B32D0D">
        <w:rPr>
          <w:lang w:val="en-GB"/>
        </w:rPr>
        <w:t xml:space="preserve"> will operate under the Mobile Service allocation and is therefore compatible with Article 5 of Radio Regulations where the band 1452-1492 MHz is allocated to the Mobile Service on a co-primary basis.</w:t>
      </w:r>
    </w:p>
    <w:p w:rsidR="00466268" w:rsidRPr="00B32D0D" w:rsidRDefault="00466268" w:rsidP="00466268">
      <w:pPr>
        <w:rPr>
          <w:lang w:val="en-GB"/>
        </w:rPr>
      </w:pPr>
    </w:p>
    <w:p w:rsidR="0094520F" w:rsidRDefault="0094520F" w:rsidP="0094520F">
      <w:r w:rsidRPr="00CE70B5">
        <w:t>The adoption of a band plan based on 5 MHz blocks for the introduction of technologies supporting the delivery of mobile broadband services in 1452-1492 MHz may stay compatible with the existing Maastricht special arrangement (MA02revCO07).</w:t>
      </w:r>
    </w:p>
    <w:p w:rsidR="0094520F" w:rsidRDefault="0094520F" w:rsidP="0094520F">
      <w:r w:rsidRPr="00CE70B5">
        <w:rPr>
          <w:rFonts w:cs="Arial"/>
          <w:szCs w:val="20"/>
        </w:rPr>
        <w:t>The issue of compatibility with MA02revCO07 is summed up in the table below:</w:t>
      </w:r>
    </w:p>
    <w:p w:rsidR="00F06955" w:rsidRDefault="00F06955" w:rsidP="00F0695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3602"/>
      </w:tblGrid>
      <w:tr w:rsidR="00F06955" w:rsidRPr="00B16AC0" w:rsidTr="00D50744">
        <w:tc>
          <w:tcPr>
            <w:tcW w:w="4606" w:type="dxa"/>
          </w:tcPr>
          <w:p w:rsidR="00F06955" w:rsidRPr="003227AC" w:rsidRDefault="00F06955" w:rsidP="00D50744">
            <w:pPr>
              <w:rPr>
                <w:b/>
                <w:lang w:val="en-GB"/>
              </w:rPr>
            </w:pPr>
            <w:r w:rsidRPr="003227AC">
              <w:rPr>
                <w:b/>
                <w:sz w:val="24"/>
                <w:lang w:val="en-GB"/>
              </w:rPr>
              <w:t>Compatibility with MA02</w:t>
            </w:r>
            <w:r w:rsidR="00846DAA">
              <w:rPr>
                <w:b/>
                <w:sz w:val="24"/>
                <w:lang w:val="en-GB"/>
              </w:rPr>
              <w:t>revCO07</w:t>
            </w:r>
          </w:p>
        </w:tc>
        <w:tc>
          <w:tcPr>
            <w:tcW w:w="3602" w:type="dxa"/>
          </w:tcPr>
          <w:p w:rsidR="00F06955" w:rsidRPr="003227AC" w:rsidRDefault="005037BF" w:rsidP="00D50744">
            <w:pPr>
              <w:rPr>
                <w:lang w:val="en-GB"/>
              </w:rPr>
            </w:pPr>
            <w:r>
              <w:rPr>
                <w:sz w:val="24"/>
                <w:lang w:val="en-GB"/>
              </w:rPr>
              <w:t>PPDR</w:t>
            </w:r>
          </w:p>
        </w:tc>
      </w:tr>
      <w:tr w:rsidR="00466268" w:rsidRPr="00B16AC0" w:rsidTr="00D50744">
        <w:tc>
          <w:tcPr>
            <w:tcW w:w="4606" w:type="dxa"/>
          </w:tcPr>
          <w:p w:rsidR="00466268" w:rsidRPr="00C9709C" w:rsidRDefault="00466268" w:rsidP="00846DAA">
            <w:pPr>
              <w:rPr>
                <w:lang w:val="en-GB"/>
              </w:rPr>
            </w:pPr>
            <w:r w:rsidRPr="003361A9">
              <w:rPr>
                <w:lang w:val="en-GB"/>
              </w:rPr>
              <w:t xml:space="preserve">Compatibility with the </w:t>
            </w:r>
            <w:r w:rsidRPr="00E42148">
              <w:rPr>
                <w:lang w:val="en-GB"/>
              </w:rPr>
              <w:t>current Plan</w:t>
            </w:r>
          </w:p>
        </w:tc>
        <w:tc>
          <w:tcPr>
            <w:tcW w:w="3602" w:type="dxa"/>
          </w:tcPr>
          <w:p w:rsidR="00466268" w:rsidRPr="003227AC" w:rsidRDefault="00466268" w:rsidP="0055482F">
            <w:pPr>
              <w:rPr>
                <w:lang w:val="en-GB"/>
              </w:rPr>
            </w:pPr>
            <w:r w:rsidRPr="00E42148">
              <w:rPr>
                <w:lang w:val="en-GB"/>
              </w:rPr>
              <w:t>No</w:t>
            </w:r>
          </w:p>
        </w:tc>
      </w:tr>
      <w:tr w:rsidR="00466268" w:rsidRPr="003227AC" w:rsidTr="00D50744">
        <w:tc>
          <w:tcPr>
            <w:tcW w:w="4606" w:type="dxa"/>
          </w:tcPr>
          <w:p w:rsidR="00466268" w:rsidRPr="003361A9" w:rsidRDefault="00466268" w:rsidP="0055482F">
            <w:pPr>
              <w:rPr>
                <w:lang w:val="en-GB"/>
              </w:rPr>
            </w:pPr>
            <w:r w:rsidRPr="00E73A5D">
              <w:rPr>
                <w:szCs w:val="20"/>
                <w:lang w:val="en-GB"/>
              </w:rPr>
              <w:t xml:space="preserve">Compatibility with </w:t>
            </w:r>
            <w:r>
              <w:rPr>
                <w:szCs w:val="20"/>
                <w:lang w:val="en-GB"/>
              </w:rPr>
              <w:t>envelope concept</w:t>
            </w:r>
          </w:p>
        </w:tc>
        <w:tc>
          <w:tcPr>
            <w:tcW w:w="3602" w:type="dxa"/>
          </w:tcPr>
          <w:p w:rsidR="008207E3" w:rsidRDefault="008207E3" w:rsidP="008207E3">
            <w:pPr>
              <w:rPr>
                <w:szCs w:val="20"/>
                <w:lang w:val="en-GB"/>
              </w:rPr>
            </w:pPr>
            <w:r w:rsidRPr="00E73A5D">
              <w:rPr>
                <w:szCs w:val="20"/>
                <w:lang w:val="en-GB"/>
              </w:rPr>
              <w:t>Mobile Broadband in the downlink could use aggregation of 1.7 MHz contiguous channels</w:t>
            </w:r>
            <w:r>
              <w:rPr>
                <w:szCs w:val="20"/>
                <w:lang w:val="en-GB"/>
              </w:rPr>
              <w:t>, but it would be suboptimal and the whole 40 MHz would not be used</w:t>
            </w:r>
            <w:r w:rsidRPr="00E73A5D">
              <w:rPr>
                <w:szCs w:val="20"/>
                <w:lang w:val="en-GB"/>
              </w:rPr>
              <w:t>.</w:t>
            </w:r>
          </w:p>
          <w:p w:rsidR="00466268" w:rsidRPr="005037BF" w:rsidRDefault="00466268" w:rsidP="0055482F">
            <w:pPr>
              <w:rPr>
                <w:szCs w:val="20"/>
                <w:lang w:val="en-GB"/>
              </w:rPr>
            </w:pPr>
          </w:p>
        </w:tc>
      </w:tr>
      <w:tr w:rsidR="00466268" w:rsidRPr="006B125A" w:rsidTr="00D50744">
        <w:tc>
          <w:tcPr>
            <w:tcW w:w="4606" w:type="dxa"/>
          </w:tcPr>
          <w:p w:rsidR="00466268" w:rsidRPr="003361A9" w:rsidRDefault="00466268" w:rsidP="0055482F">
            <w:pPr>
              <w:rPr>
                <w:lang w:val="en-GB"/>
              </w:rPr>
            </w:pPr>
            <w:r w:rsidRPr="003361A9">
              <w:rPr>
                <w:lang w:val="en-GB"/>
              </w:rPr>
              <w:t>MA02 as a tool for cross-border coordination</w:t>
            </w:r>
          </w:p>
        </w:tc>
        <w:tc>
          <w:tcPr>
            <w:tcW w:w="3602" w:type="dxa"/>
          </w:tcPr>
          <w:p w:rsidR="00466268" w:rsidRDefault="00466268" w:rsidP="0055482F">
            <w:pPr>
              <w:rPr>
                <w:szCs w:val="20"/>
                <w:lang w:val="en-GB"/>
              </w:rPr>
            </w:pPr>
            <w:r>
              <w:rPr>
                <w:szCs w:val="20"/>
                <w:lang w:val="en-GB"/>
              </w:rPr>
              <w:t>Need to develop procedure for mobile transmitters</w:t>
            </w:r>
          </w:p>
          <w:p w:rsidR="00466268" w:rsidRPr="003227AC" w:rsidRDefault="00466268" w:rsidP="0055482F">
            <w:pPr>
              <w:rPr>
                <w:sz w:val="22"/>
                <w:lang w:val="en-GB"/>
              </w:rPr>
            </w:pPr>
          </w:p>
        </w:tc>
      </w:tr>
    </w:tbl>
    <w:p w:rsidR="00F06955" w:rsidRDefault="00F06955" w:rsidP="00F06955"/>
    <w:p w:rsidR="00466268" w:rsidRDefault="00466268" w:rsidP="00466268">
      <w:pPr>
        <w:pStyle w:val="ECCParagraph"/>
      </w:pPr>
      <w:r>
        <w:t xml:space="preserve">ECC </w:t>
      </w:r>
      <w:proofErr w:type="gramStart"/>
      <w:r>
        <w:t>DEC(</w:t>
      </w:r>
      <w:proofErr w:type="gramEnd"/>
      <w:r>
        <w:t xml:space="preserve">03)02 designates the frequency band 1479.5 - 1492 MHz for use by satellite digital audio broadcasting systems. Thus </w:t>
      </w:r>
      <w:r w:rsidR="008207E3">
        <w:t>PPDR</w:t>
      </w:r>
      <w:r>
        <w:t xml:space="preserve"> is not compatible with ECC </w:t>
      </w:r>
      <w:proofErr w:type="gramStart"/>
      <w:r>
        <w:t>DEC(</w:t>
      </w:r>
      <w:proofErr w:type="gramEnd"/>
      <w:r>
        <w:t>03)02</w:t>
      </w:r>
      <w:r w:rsidR="008207E3">
        <w:t xml:space="preserve">. However, the spectrum requirement for PPDR may not necessarily cover the band 1479.5-1492 </w:t>
      </w:r>
      <w:proofErr w:type="spellStart"/>
      <w:r w:rsidR="008207E3">
        <w:t>MHz</w:t>
      </w:r>
      <w:r w:rsidR="00846DAA">
        <w:t>.</w:t>
      </w:r>
      <w:proofErr w:type="spellEnd"/>
    </w:p>
    <w:p w:rsidR="0068625A" w:rsidRPr="00D34BD6" w:rsidRDefault="0068625A" w:rsidP="00145BAD">
      <w:pPr>
        <w:rPr>
          <w:lang w:val="en-GB"/>
        </w:rPr>
      </w:pPr>
    </w:p>
    <w:p w:rsidR="0068625A" w:rsidRPr="003A401A" w:rsidRDefault="0068625A" w:rsidP="0068625A">
      <w:pPr>
        <w:pStyle w:val="Titre3"/>
      </w:pPr>
      <w:bookmarkStart w:id="7" w:name="_Toc311101365"/>
      <w:r w:rsidRPr="003A401A">
        <w:t>Compatibility with the current regulatory framework</w:t>
      </w:r>
      <w:bookmarkEnd w:id="7"/>
      <w:r>
        <w:t xml:space="preserve"> [BDA2GC]</w:t>
      </w:r>
    </w:p>
    <w:p w:rsidR="0068625A" w:rsidRDefault="0068625A" w:rsidP="0068625A">
      <w:pPr>
        <w:rPr>
          <w:rFonts w:ascii="Times New Roman" w:hAnsi="Times New Roman"/>
          <w:color w:val="000000"/>
          <w:sz w:val="24"/>
          <w:lang w:val="en-GB" w:eastAsia="fr-FR"/>
        </w:rPr>
      </w:pPr>
    </w:p>
    <w:p w:rsidR="001D5C13" w:rsidRDefault="0068625A" w:rsidP="0068625A">
      <w:pPr>
        <w:rPr>
          <w:rFonts w:cs="Arial"/>
          <w:color w:val="000000"/>
          <w:szCs w:val="20"/>
          <w:lang w:val="en-GB" w:eastAsia="fr-FR"/>
        </w:rPr>
      </w:pPr>
      <w:r w:rsidRPr="00304604">
        <w:rPr>
          <w:rFonts w:cs="Arial"/>
          <w:color w:val="000000"/>
          <w:szCs w:val="20"/>
          <w:lang w:val="en-GB" w:eastAsia="fr-FR"/>
        </w:rPr>
        <w:t xml:space="preserve">A ground station (base station) for a Broadband DA2GC system has to be considered as an “aeronautical station” according to provision No. 1.81 of ITU RR. Therefore, BDA2GC is to be understood as aeronautical mobile service. As the band 1452-1492 MHz is currently allocated to the </w:t>
      </w:r>
      <w:r w:rsidRPr="00304604">
        <w:rPr>
          <w:rFonts w:cs="Arial"/>
          <w:color w:val="000000"/>
          <w:szCs w:val="20"/>
          <w:lang w:val="en-GB" w:eastAsia="fr-FR"/>
        </w:rPr>
        <w:lastRenderedPageBreak/>
        <w:t>Mobile Service except aeronautical mobile in Region 1, BDA2GC is</w:t>
      </w:r>
      <w:r w:rsidR="003C2D16">
        <w:rPr>
          <w:rFonts w:cs="Arial"/>
          <w:color w:val="000000"/>
          <w:szCs w:val="20"/>
          <w:lang w:val="en-GB" w:eastAsia="fr-FR"/>
        </w:rPr>
        <w:t xml:space="preserve"> not compliant</w:t>
      </w:r>
      <w:r w:rsidRPr="00304604">
        <w:rPr>
          <w:rFonts w:cs="Arial"/>
          <w:color w:val="000000"/>
          <w:szCs w:val="20"/>
          <w:lang w:val="en-GB" w:eastAsia="fr-FR"/>
        </w:rPr>
        <w:t xml:space="preserve"> with current allocations in Article 5 of the Radio Regulations.</w:t>
      </w:r>
      <w:r w:rsidR="001D5C13">
        <w:rPr>
          <w:rFonts w:cs="Arial"/>
          <w:color w:val="000000"/>
          <w:szCs w:val="20"/>
          <w:lang w:val="en-GB" w:eastAsia="fr-FR"/>
        </w:rPr>
        <w:t xml:space="preserve"> </w:t>
      </w:r>
    </w:p>
    <w:p w:rsidR="004B7C5A" w:rsidRDefault="004B7C5A" w:rsidP="0068625A"/>
    <w:p w:rsidR="0068625A" w:rsidRPr="00F7177D" w:rsidRDefault="003310AC" w:rsidP="0068625A">
      <w:pPr>
        <w:pStyle w:val="ECCParagraph"/>
        <w:rPr>
          <w:rFonts w:cs="Arial"/>
          <w:szCs w:val="20"/>
        </w:rPr>
      </w:pPr>
      <w:r w:rsidRPr="00F7177D">
        <w:rPr>
          <w:rFonts w:cs="Arial"/>
          <w:szCs w:val="20"/>
        </w:rPr>
        <w:t>The issue of compatibility with MA02revCO07 is summed up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3602"/>
      </w:tblGrid>
      <w:tr w:rsidR="002337ED" w:rsidRPr="00B16AC0" w:rsidTr="00D50744">
        <w:tc>
          <w:tcPr>
            <w:tcW w:w="4606" w:type="dxa"/>
          </w:tcPr>
          <w:p w:rsidR="002337ED" w:rsidRPr="00F7177D" w:rsidRDefault="002337ED" w:rsidP="00D50744">
            <w:pPr>
              <w:rPr>
                <w:b/>
                <w:lang w:val="en-GB"/>
              </w:rPr>
            </w:pPr>
            <w:r w:rsidRPr="00F7177D">
              <w:rPr>
                <w:b/>
                <w:sz w:val="24"/>
                <w:lang w:val="en-GB"/>
              </w:rPr>
              <w:t>Compatibility with MA02</w:t>
            </w:r>
            <w:r w:rsidR="00846DAA">
              <w:rPr>
                <w:b/>
                <w:sz w:val="24"/>
                <w:lang w:val="en-GB"/>
              </w:rPr>
              <w:t>revCO07</w:t>
            </w:r>
          </w:p>
        </w:tc>
        <w:tc>
          <w:tcPr>
            <w:tcW w:w="3602" w:type="dxa"/>
          </w:tcPr>
          <w:p w:rsidR="002337ED" w:rsidRPr="003227AC" w:rsidRDefault="002337ED" w:rsidP="00D50744">
            <w:pPr>
              <w:rPr>
                <w:lang w:val="en-GB"/>
              </w:rPr>
            </w:pPr>
            <w:r w:rsidRPr="00F7177D">
              <w:rPr>
                <w:sz w:val="24"/>
                <w:lang w:val="en-GB"/>
              </w:rPr>
              <w:t>BDA2GC</w:t>
            </w:r>
          </w:p>
        </w:tc>
      </w:tr>
      <w:tr w:rsidR="002337ED" w:rsidRPr="00B16AC0" w:rsidTr="00D50744">
        <w:tc>
          <w:tcPr>
            <w:tcW w:w="4606" w:type="dxa"/>
          </w:tcPr>
          <w:p w:rsidR="002337ED" w:rsidRPr="003361A9" w:rsidRDefault="002337ED" w:rsidP="00846DAA">
            <w:pPr>
              <w:rPr>
                <w:lang w:val="en-GB"/>
              </w:rPr>
            </w:pPr>
            <w:r w:rsidRPr="003361A9">
              <w:rPr>
                <w:lang w:val="en-GB"/>
              </w:rPr>
              <w:t xml:space="preserve">Compatibility with the </w:t>
            </w:r>
            <w:r w:rsidR="00E42148">
              <w:rPr>
                <w:lang w:val="en-GB"/>
              </w:rPr>
              <w:t xml:space="preserve">current </w:t>
            </w:r>
            <w:r w:rsidRPr="003361A9">
              <w:rPr>
                <w:lang w:val="en-GB"/>
              </w:rPr>
              <w:t>Plan</w:t>
            </w:r>
          </w:p>
        </w:tc>
        <w:tc>
          <w:tcPr>
            <w:tcW w:w="3602" w:type="dxa"/>
          </w:tcPr>
          <w:p w:rsidR="002337ED" w:rsidRPr="00304604" w:rsidRDefault="00E42148" w:rsidP="00D50744">
            <w:pPr>
              <w:rPr>
                <w:szCs w:val="20"/>
                <w:lang w:val="en-GB"/>
              </w:rPr>
            </w:pPr>
            <w:r>
              <w:rPr>
                <w:szCs w:val="20"/>
                <w:lang w:val="en-GB"/>
              </w:rPr>
              <w:t>No</w:t>
            </w:r>
          </w:p>
        </w:tc>
      </w:tr>
      <w:tr w:rsidR="002337ED" w:rsidRPr="006B125A" w:rsidTr="00D50744">
        <w:tc>
          <w:tcPr>
            <w:tcW w:w="4606" w:type="dxa"/>
          </w:tcPr>
          <w:p w:rsidR="002337ED" w:rsidRPr="003361A9" w:rsidRDefault="005037BF" w:rsidP="00D50744">
            <w:pPr>
              <w:rPr>
                <w:lang w:val="en-GB"/>
              </w:rPr>
            </w:pPr>
            <w:r w:rsidRPr="00E73A5D">
              <w:rPr>
                <w:szCs w:val="20"/>
                <w:lang w:val="en-GB"/>
              </w:rPr>
              <w:t xml:space="preserve">Compatibility with </w:t>
            </w:r>
            <w:r>
              <w:rPr>
                <w:szCs w:val="20"/>
                <w:lang w:val="en-GB"/>
              </w:rPr>
              <w:t>envelope concept</w:t>
            </w:r>
          </w:p>
        </w:tc>
        <w:tc>
          <w:tcPr>
            <w:tcW w:w="3602" w:type="dxa"/>
          </w:tcPr>
          <w:p w:rsidR="00F7177D" w:rsidRDefault="00F7177D" w:rsidP="004B230C">
            <w:pPr>
              <w:rPr>
                <w:szCs w:val="20"/>
                <w:lang w:val="en-GB"/>
              </w:rPr>
            </w:pPr>
            <w:proofErr w:type="gramStart"/>
            <w:r w:rsidRPr="00E73A5D">
              <w:rPr>
                <w:szCs w:val="20"/>
                <w:lang w:val="en-GB"/>
              </w:rPr>
              <w:t>could</w:t>
            </w:r>
            <w:proofErr w:type="gramEnd"/>
            <w:r w:rsidRPr="00E73A5D">
              <w:rPr>
                <w:szCs w:val="20"/>
                <w:lang w:val="en-GB"/>
              </w:rPr>
              <w:t xml:space="preserve"> use aggregation </w:t>
            </w:r>
            <w:r w:rsidR="000A4B04">
              <w:rPr>
                <w:szCs w:val="20"/>
                <w:lang w:val="en-GB"/>
              </w:rPr>
              <w:t xml:space="preserve">of </w:t>
            </w:r>
            <w:r w:rsidRPr="00E73A5D">
              <w:rPr>
                <w:szCs w:val="20"/>
                <w:lang w:val="en-GB"/>
              </w:rPr>
              <w:t>1.7 MHz</w:t>
            </w:r>
            <w:r w:rsidR="000A4B04">
              <w:rPr>
                <w:szCs w:val="20"/>
                <w:lang w:val="en-GB"/>
              </w:rPr>
              <w:t xml:space="preserve"> </w:t>
            </w:r>
            <w:r w:rsidRPr="00E73A5D">
              <w:rPr>
                <w:szCs w:val="20"/>
                <w:lang w:val="en-GB"/>
              </w:rPr>
              <w:t>contiguous channels</w:t>
            </w:r>
            <w:r>
              <w:rPr>
                <w:szCs w:val="20"/>
                <w:lang w:val="en-GB"/>
              </w:rPr>
              <w:t xml:space="preserve"> in the forward link (ground to air), but it would be suboptimal and the whole 40 MHz would not be used</w:t>
            </w:r>
            <w:r w:rsidRPr="00E73A5D">
              <w:rPr>
                <w:szCs w:val="20"/>
                <w:lang w:val="en-GB"/>
              </w:rPr>
              <w:t>.</w:t>
            </w:r>
          </w:p>
          <w:p w:rsidR="004B7C5A" w:rsidRDefault="004B7C5A" w:rsidP="004B230C">
            <w:pPr>
              <w:rPr>
                <w:szCs w:val="20"/>
                <w:lang w:val="en-GB"/>
              </w:rPr>
            </w:pPr>
          </w:p>
          <w:p w:rsidR="004B230C" w:rsidRPr="004B230C" w:rsidRDefault="004B230C" w:rsidP="004B230C">
            <w:pPr>
              <w:rPr>
                <w:szCs w:val="20"/>
              </w:rPr>
            </w:pPr>
            <w:r w:rsidRPr="004B230C">
              <w:rPr>
                <w:szCs w:val="20"/>
              </w:rPr>
              <w:t>For the mobile transmitters</w:t>
            </w:r>
            <w:r w:rsidR="00F7177D">
              <w:rPr>
                <w:szCs w:val="20"/>
              </w:rPr>
              <w:t xml:space="preserve"> (aircraft)</w:t>
            </w:r>
            <w:r w:rsidRPr="004B230C">
              <w:rPr>
                <w:szCs w:val="20"/>
              </w:rPr>
              <w:t xml:space="preserve"> appropriate procedure </w:t>
            </w:r>
            <w:r w:rsidR="000A4B04">
              <w:rPr>
                <w:szCs w:val="20"/>
              </w:rPr>
              <w:t>may</w:t>
            </w:r>
            <w:r w:rsidRPr="004B230C">
              <w:rPr>
                <w:szCs w:val="20"/>
              </w:rPr>
              <w:t xml:space="preserve"> need to be defined through mutual agreement.</w:t>
            </w:r>
          </w:p>
          <w:p w:rsidR="002337ED" w:rsidRPr="00304604" w:rsidRDefault="002337ED" w:rsidP="009C7EAC">
            <w:pPr>
              <w:rPr>
                <w:szCs w:val="20"/>
                <w:lang w:val="en-GB"/>
              </w:rPr>
            </w:pPr>
          </w:p>
        </w:tc>
      </w:tr>
      <w:tr w:rsidR="002337ED" w:rsidRPr="006B125A" w:rsidTr="00D50744">
        <w:tc>
          <w:tcPr>
            <w:tcW w:w="4606" w:type="dxa"/>
          </w:tcPr>
          <w:p w:rsidR="002337ED" w:rsidRPr="003361A9" w:rsidRDefault="002337ED" w:rsidP="00D50744">
            <w:pPr>
              <w:rPr>
                <w:lang w:val="en-GB"/>
              </w:rPr>
            </w:pPr>
            <w:r w:rsidRPr="003361A9">
              <w:rPr>
                <w:lang w:val="en-GB"/>
              </w:rPr>
              <w:t>MA02 as a tool for cross-border coordination</w:t>
            </w:r>
          </w:p>
        </w:tc>
        <w:tc>
          <w:tcPr>
            <w:tcW w:w="3602" w:type="dxa"/>
          </w:tcPr>
          <w:p w:rsidR="002337ED" w:rsidRPr="003227AC" w:rsidRDefault="00DE328B" w:rsidP="002337ED">
            <w:pPr>
              <w:rPr>
                <w:sz w:val="22"/>
                <w:lang w:val="en-GB"/>
              </w:rPr>
            </w:pPr>
            <w:r>
              <w:rPr>
                <w:szCs w:val="20"/>
                <w:lang w:val="en-GB"/>
              </w:rPr>
              <w:t>Not applicable, CEPT wide service</w:t>
            </w:r>
          </w:p>
        </w:tc>
      </w:tr>
    </w:tbl>
    <w:p w:rsidR="0068625A" w:rsidRPr="002337ED" w:rsidRDefault="0068625A" w:rsidP="0068625A">
      <w:pPr>
        <w:pStyle w:val="ECCParagraph"/>
        <w:rPr>
          <w:rFonts w:cs="Arial"/>
          <w:szCs w:val="20"/>
          <w:lang w:val="en-US"/>
        </w:rPr>
      </w:pPr>
    </w:p>
    <w:p w:rsidR="002337ED" w:rsidRDefault="001D5C13" w:rsidP="0068625A">
      <w:pPr>
        <w:pStyle w:val="ECCParagraph"/>
        <w:rPr>
          <w:rFonts w:cs="Arial"/>
          <w:szCs w:val="20"/>
        </w:rPr>
      </w:pPr>
      <w:r w:rsidRPr="00304604">
        <w:rPr>
          <w:rFonts w:cs="Arial"/>
          <w:color w:val="000000"/>
          <w:szCs w:val="20"/>
          <w:lang w:eastAsia="fr-FR"/>
        </w:rPr>
        <w:t xml:space="preserve">As ECC </w:t>
      </w:r>
      <w:proofErr w:type="gramStart"/>
      <w:r w:rsidRPr="00304604">
        <w:rPr>
          <w:rFonts w:cs="Arial"/>
          <w:color w:val="000000"/>
          <w:szCs w:val="20"/>
          <w:lang w:eastAsia="fr-FR"/>
        </w:rPr>
        <w:t>DEC(</w:t>
      </w:r>
      <w:proofErr w:type="gramEnd"/>
      <w:r w:rsidRPr="00304604">
        <w:rPr>
          <w:rFonts w:cs="Arial"/>
          <w:color w:val="000000"/>
          <w:szCs w:val="20"/>
          <w:lang w:eastAsia="fr-FR"/>
        </w:rPr>
        <w:t xml:space="preserve">03)02 designates the frequency band 1479.5 - 1492 MHz for use by satellite digital audio broadcasting systems, </w:t>
      </w:r>
      <w:r w:rsidR="004B7C5A">
        <w:rPr>
          <w:rFonts w:cs="Arial"/>
          <w:color w:val="000000"/>
          <w:szCs w:val="20"/>
          <w:lang w:eastAsia="fr-FR"/>
        </w:rPr>
        <w:t>B</w:t>
      </w:r>
      <w:r w:rsidRPr="00304604">
        <w:rPr>
          <w:rFonts w:cs="Arial"/>
          <w:color w:val="000000"/>
          <w:szCs w:val="20"/>
          <w:lang w:eastAsia="fr-FR"/>
        </w:rPr>
        <w:t>DA2GC is not compatible with this Decision.</w:t>
      </w:r>
      <w:r w:rsidR="00E304B5">
        <w:t xml:space="preserve"> However, the spectrum requirement for BDA2GC may not necessarily cover the band 1479.5-1492 </w:t>
      </w:r>
      <w:proofErr w:type="spellStart"/>
      <w:r w:rsidR="00E304B5">
        <w:t>MHz</w:t>
      </w:r>
      <w:r w:rsidR="004B7C5A">
        <w:t>.</w:t>
      </w:r>
      <w:proofErr w:type="spellEnd"/>
    </w:p>
    <w:p w:rsidR="0068625A" w:rsidRPr="0068625A" w:rsidRDefault="0068625A" w:rsidP="00145BAD">
      <w:pPr>
        <w:rPr>
          <w:lang w:val="en-GB"/>
        </w:rPr>
      </w:pPr>
    </w:p>
    <w:sectPr w:rsidR="0068625A" w:rsidRPr="0068625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06D" w:rsidRDefault="0029706D" w:rsidP="00C5160B">
      <w:r>
        <w:separator/>
      </w:r>
    </w:p>
  </w:endnote>
  <w:endnote w:type="continuationSeparator" w:id="0">
    <w:p w:rsidR="0029706D" w:rsidRDefault="0029706D" w:rsidP="00C51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Arial Bold">
    <w:altName w:val="Times New Roman"/>
    <w:charset w:val="59"/>
    <w:family w:val="auto"/>
    <w:pitch w:val="variable"/>
    <w:sig w:usb0="00000201" w:usb1="00000000" w:usb2="00000000" w:usb3="00000000" w:csb0="00000004"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06D" w:rsidRDefault="0029706D" w:rsidP="00C5160B">
      <w:r>
        <w:separator/>
      </w:r>
    </w:p>
  </w:footnote>
  <w:footnote w:type="continuationSeparator" w:id="0">
    <w:p w:rsidR="0029706D" w:rsidRDefault="0029706D" w:rsidP="00C5160B">
      <w:r>
        <w:continuationSeparator/>
      </w:r>
    </w:p>
  </w:footnote>
  <w:footnote w:id="1">
    <w:p w:rsidR="001A59AD" w:rsidRPr="00D34BD6" w:rsidRDefault="001A59AD" w:rsidP="001A59AD">
      <w:pPr>
        <w:pStyle w:val="Notedebasdepage"/>
        <w:rPr>
          <w:lang w:val="en-GB"/>
        </w:rPr>
      </w:pPr>
      <w:r>
        <w:rPr>
          <w:rStyle w:val="Appelnotedebasdep"/>
        </w:rPr>
        <w:footnoteRef/>
      </w:r>
      <w:r>
        <w:t xml:space="preserve"> </w:t>
      </w:r>
      <w:r w:rsidRPr="00D34BD6">
        <w:rPr>
          <w:sz w:val="16"/>
          <w:szCs w:val="16"/>
        </w:rPr>
        <w:t>“Administrations of the Member States shall not assign to a station any</w:t>
      </w:r>
      <w:r w:rsidR="008917F2" w:rsidRPr="00D34BD6">
        <w:rPr>
          <w:sz w:val="16"/>
          <w:szCs w:val="16"/>
        </w:rPr>
        <w:t xml:space="preserve"> </w:t>
      </w:r>
      <w:r w:rsidRPr="00D34BD6">
        <w:rPr>
          <w:sz w:val="16"/>
          <w:szCs w:val="16"/>
        </w:rPr>
        <w:t>frequency in derogation of either the Table of Frequency Allocations in this Chapter or the other</w:t>
      </w:r>
      <w:r w:rsidR="008917F2" w:rsidRPr="00D34BD6">
        <w:rPr>
          <w:sz w:val="16"/>
          <w:szCs w:val="16"/>
        </w:rPr>
        <w:t xml:space="preserve"> </w:t>
      </w:r>
      <w:r w:rsidRPr="00D34BD6">
        <w:rPr>
          <w:sz w:val="16"/>
          <w:szCs w:val="16"/>
        </w:rPr>
        <w:t>provisions of these Regulations, except on the express condition that such a station, when using</w:t>
      </w:r>
      <w:r w:rsidR="008917F2" w:rsidRPr="00D34BD6">
        <w:rPr>
          <w:sz w:val="16"/>
          <w:szCs w:val="16"/>
        </w:rPr>
        <w:t xml:space="preserve"> </w:t>
      </w:r>
      <w:r w:rsidRPr="00D34BD6">
        <w:rPr>
          <w:sz w:val="16"/>
          <w:szCs w:val="16"/>
        </w:rPr>
        <w:t>such a frequency assignment, shall not cause harmful interference to, and shall not claim</w:t>
      </w:r>
      <w:r w:rsidR="008917F2" w:rsidRPr="00D34BD6">
        <w:rPr>
          <w:sz w:val="16"/>
          <w:szCs w:val="16"/>
        </w:rPr>
        <w:t xml:space="preserve"> </w:t>
      </w:r>
      <w:r w:rsidRPr="00D34BD6">
        <w:rPr>
          <w:sz w:val="16"/>
          <w:szCs w:val="16"/>
        </w:rPr>
        <w:t>protection from harmful interference caused by, a station operating in accordance with the</w:t>
      </w:r>
      <w:r w:rsidR="008917F2" w:rsidRPr="00D34BD6">
        <w:rPr>
          <w:sz w:val="16"/>
          <w:szCs w:val="16"/>
        </w:rPr>
        <w:t xml:space="preserve"> </w:t>
      </w:r>
      <w:r w:rsidRPr="00D34BD6">
        <w:rPr>
          <w:sz w:val="16"/>
          <w:szCs w:val="16"/>
        </w:rPr>
        <w:t>provisions of the Constitution, the Convention and these Regulations.”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1">
    <w:nsid w:val="3A981202"/>
    <w:multiLevelType w:val="multilevel"/>
    <w:tmpl w:val="33524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D163F7A"/>
    <w:multiLevelType w:val="multilevel"/>
    <w:tmpl w:val="D6BA3760"/>
    <w:lvl w:ilvl="0">
      <w:numFmt w:val="decimal"/>
      <w:pStyle w:val="Titre1"/>
      <w:lvlText w:val="%1"/>
      <w:lvlJc w:val="left"/>
      <w:pPr>
        <w:tabs>
          <w:tab w:val="num" w:pos="432"/>
        </w:tabs>
        <w:ind w:left="432" w:hanging="432"/>
      </w:pPr>
      <w:rPr>
        <w:rFonts w:ascii="Arial" w:hAnsi="Arial" w:hint="default"/>
        <w:b/>
        <w:i w:val="0"/>
        <w:color w:val="D2232A"/>
        <w:sz w:val="20"/>
        <w:szCs w:val="20"/>
      </w:rPr>
    </w:lvl>
    <w:lvl w:ilvl="1">
      <w:start w:val="1"/>
      <w:numFmt w:val="decimal"/>
      <w:pStyle w:val="Titre2"/>
      <w:lvlText w:val="%1.%2"/>
      <w:lvlJc w:val="left"/>
      <w:pPr>
        <w:tabs>
          <w:tab w:val="num" w:pos="576"/>
        </w:tabs>
        <w:ind w:left="576" w:hanging="576"/>
      </w:pPr>
      <w:rPr>
        <w:rFonts w:ascii="Arial" w:hAnsi="Arial" w:hint="default"/>
        <w:b/>
        <w:i w:val="0"/>
        <w:sz w:val="20"/>
      </w:rPr>
    </w:lvl>
    <w:lvl w:ilvl="2">
      <w:start w:val="1"/>
      <w:numFmt w:val="decimal"/>
      <w:pStyle w:val="Titre3"/>
      <w:lvlText w:val="%1.%2.%3"/>
      <w:lvlJc w:val="left"/>
      <w:pPr>
        <w:tabs>
          <w:tab w:val="num" w:pos="720"/>
        </w:tabs>
        <w:ind w:left="720" w:hanging="720"/>
      </w:pPr>
      <w:rPr>
        <w:rFonts w:ascii="Arial" w:hAnsi="Arial" w:hint="default"/>
        <w:b/>
        <w:i w:val="0"/>
        <w:caps w:val="0"/>
        <w:sz w:val="20"/>
        <w:szCs w:val="20"/>
      </w:rPr>
    </w:lvl>
    <w:lvl w:ilvl="3">
      <w:start w:val="1"/>
      <w:numFmt w:val="decimal"/>
      <w:pStyle w:val="Titre4"/>
      <w:lvlText w:val="%1.%2.%3.%4"/>
      <w:lvlJc w:val="left"/>
      <w:pPr>
        <w:tabs>
          <w:tab w:val="num" w:pos="864"/>
        </w:tabs>
        <w:ind w:left="864" w:hanging="864"/>
      </w:pPr>
      <w:rPr>
        <w:rFonts w:ascii="Arial" w:hAnsi="Arial" w:hint="default"/>
        <w:b w:val="0"/>
        <w:i/>
        <w:sz w:val="20"/>
      </w:rPr>
    </w:lvl>
    <w:lvl w:ilvl="4">
      <w:start w:val="1"/>
      <w:numFmt w:val="decimal"/>
      <w:pStyle w:val="Titre5"/>
      <w:lvlText w:val="%1.%2.%3.%4.%5"/>
      <w:lvlJc w:val="left"/>
      <w:pPr>
        <w:tabs>
          <w:tab w:val="num" w:pos="1008"/>
        </w:tabs>
        <w:ind w:left="1008" w:hanging="1008"/>
      </w:pPr>
      <w:rPr>
        <w:rFonts w:hint="default"/>
        <w:sz w:val="24"/>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60B"/>
    <w:rsid w:val="00000925"/>
    <w:rsid w:val="000678F7"/>
    <w:rsid w:val="00087960"/>
    <w:rsid w:val="000A2E54"/>
    <w:rsid w:val="000A32AA"/>
    <w:rsid w:val="000A4B04"/>
    <w:rsid w:val="000A7F63"/>
    <w:rsid w:val="000C290E"/>
    <w:rsid w:val="000C37FF"/>
    <w:rsid w:val="00145BAD"/>
    <w:rsid w:val="00150E82"/>
    <w:rsid w:val="001A59AD"/>
    <w:rsid w:val="001D5C13"/>
    <w:rsid w:val="001E1CBA"/>
    <w:rsid w:val="00205782"/>
    <w:rsid w:val="00214607"/>
    <w:rsid w:val="00220553"/>
    <w:rsid w:val="002337ED"/>
    <w:rsid w:val="00246CF7"/>
    <w:rsid w:val="0026600D"/>
    <w:rsid w:val="00290EC4"/>
    <w:rsid w:val="0029706D"/>
    <w:rsid w:val="00304604"/>
    <w:rsid w:val="00314B7A"/>
    <w:rsid w:val="003257F2"/>
    <w:rsid w:val="00325F52"/>
    <w:rsid w:val="003310AC"/>
    <w:rsid w:val="00333E9F"/>
    <w:rsid w:val="0036259D"/>
    <w:rsid w:val="00380013"/>
    <w:rsid w:val="003834B1"/>
    <w:rsid w:val="0038691F"/>
    <w:rsid w:val="003A2AB4"/>
    <w:rsid w:val="003B6635"/>
    <w:rsid w:val="003C2D16"/>
    <w:rsid w:val="003D5F7C"/>
    <w:rsid w:val="003E0E28"/>
    <w:rsid w:val="003E5766"/>
    <w:rsid w:val="004066C8"/>
    <w:rsid w:val="00461286"/>
    <w:rsid w:val="00466268"/>
    <w:rsid w:val="004B230C"/>
    <w:rsid w:val="004B7C5A"/>
    <w:rsid w:val="004E72DA"/>
    <w:rsid w:val="0050037F"/>
    <w:rsid w:val="005037BF"/>
    <w:rsid w:val="00531DE6"/>
    <w:rsid w:val="00536F29"/>
    <w:rsid w:val="0053761C"/>
    <w:rsid w:val="0055185B"/>
    <w:rsid w:val="00554AED"/>
    <w:rsid w:val="005620EC"/>
    <w:rsid w:val="005A3D50"/>
    <w:rsid w:val="005F4AC2"/>
    <w:rsid w:val="00611061"/>
    <w:rsid w:val="006250C5"/>
    <w:rsid w:val="00656970"/>
    <w:rsid w:val="0068625A"/>
    <w:rsid w:val="006C6DEE"/>
    <w:rsid w:val="006D09B8"/>
    <w:rsid w:val="006F7F0A"/>
    <w:rsid w:val="00770DF2"/>
    <w:rsid w:val="007E066E"/>
    <w:rsid w:val="007E4E0E"/>
    <w:rsid w:val="00815138"/>
    <w:rsid w:val="008207E3"/>
    <w:rsid w:val="00844DC3"/>
    <w:rsid w:val="00846DAA"/>
    <w:rsid w:val="00867EDB"/>
    <w:rsid w:val="008917F2"/>
    <w:rsid w:val="008952FA"/>
    <w:rsid w:val="00895F26"/>
    <w:rsid w:val="0094520F"/>
    <w:rsid w:val="00997A18"/>
    <w:rsid w:val="009C7EAC"/>
    <w:rsid w:val="009E7591"/>
    <w:rsid w:val="009F64B9"/>
    <w:rsid w:val="00A35309"/>
    <w:rsid w:val="00A7144F"/>
    <w:rsid w:val="00AA344E"/>
    <w:rsid w:val="00AE6D9F"/>
    <w:rsid w:val="00B22477"/>
    <w:rsid w:val="00B32D0D"/>
    <w:rsid w:val="00B55CA5"/>
    <w:rsid w:val="00B75000"/>
    <w:rsid w:val="00B93553"/>
    <w:rsid w:val="00BC6095"/>
    <w:rsid w:val="00BD6C74"/>
    <w:rsid w:val="00C240EE"/>
    <w:rsid w:val="00C4415A"/>
    <w:rsid w:val="00C5160B"/>
    <w:rsid w:val="00C6488D"/>
    <w:rsid w:val="00CC3254"/>
    <w:rsid w:val="00CE70B5"/>
    <w:rsid w:val="00D15999"/>
    <w:rsid w:val="00D16AE1"/>
    <w:rsid w:val="00D34BD6"/>
    <w:rsid w:val="00D45FB5"/>
    <w:rsid w:val="00D50744"/>
    <w:rsid w:val="00D54BF3"/>
    <w:rsid w:val="00D816EF"/>
    <w:rsid w:val="00D84FC7"/>
    <w:rsid w:val="00DC315C"/>
    <w:rsid w:val="00DE328B"/>
    <w:rsid w:val="00DE75AA"/>
    <w:rsid w:val="00DF5136"/>
    <w:rsid w:val="00E11765"/>
    <w:rsid w:val="00E16D9F"/>
    <w:rsid w:val="00E304B5"/>
    <w:rsid w:val="00E379D3"/>
    <w:rsid w:val="00E42148"/>
    <w:rsid w:val="00E430A0"/>
    <w:rsid w:val="00E57323"/>
    <w:rsid w:val="00E70562"/>
    <w:rsid w:val="00E73A5D"/>
    <w:rsid w:val="00E87EB6"/>
    <w:rsid w:val="00E9012C"/>
    <w:rsid w:val="00F06955"/>
    <w:rsid w:val="00F2024D"/>
    <w:rsid w:val="00F574F4"/>
    <w:rsid w:val="00F7177D"/>
    <w:rsid w:val="00F76D95"/>
    <w:rsid w:val="00FA5ACE"/>
    <w:rsid w:val="00FC1C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60B"/>
    <w:pPr>
      <w:spacing w:after="0" w:line="240" w:lineRule="auto"/>
    </w:pPr>
    <w:rPr>
      <w:rFonts w:ascii="Arial" w:eastAsia="Times New Roman" w:hAnsi="Arial" w:cs="Times New Roman"/>
      <w:sz w:val="20"/>
      <w:szCs w:val="24"/>
      <w:lang w:val="en-US"/>
    </w:rPr>
  </w:style>
  <w:style w:type="paragraph" w:styleId="Titre1">
    <w:name w:val="heading 1"/>
    <w:aliases w:val="ECC Heading 1"/>
    <w:basedOn w:val="Normal"/>
    <w:next w:val="ECCParagraph"/>
    <w:link w:val="Titre1Car"/>
    <w:autoRedefine/>
    <w:qFormat/>
    <w:rsid w:val="00C5160B"/>
    <w:pPr>
      <w:numPr>
        <w:numId w:val="1"/>
      </w:numPr>
      <w:spacing w:before="600" w:after="240"/>
      <w:ind w:left="431" w:hanging="431"/>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qFormat/>
    <w:rsid w:val="00C5160B"/>
    <w:pPr>
      <w:keepNext/>
      <w:numPr>
        <w:ilvl w:val="1"/>
        <w:numId w:val="1"/>
      </w:numPr>
      <w:spacing w:before="480" w:after="240"/>
      <w:outlineLvl w:val="1"/>
    </w:pPr>
    <w:rPr>
      <w:rFonts w:cs="Arial"/>
      <w:b/>
      <w:bCs/>
      <w:iCs/>
      <w:caps/>
      <w:szCs w:val="28"/>
      <w:lang w:val="en-GB"/>
    </w:rPr>
  </w:style>
  <w:style w:type="paragraph" w:styleId="Titre3">
    <w:name w:val="heading 3"/>
    <w:aliases w:val="ECC Heading 3"/>
    <w:basedOn w:val="Normal"/>
    <w:next w:val="ECCParagraph"/>
    <w:link w:val="Titre3Car"/>
    <w:autoRedefine/>
    <w:qFormat/>
    <w:rsid w:val="00C5160B"/>
    <w:pPr>
      <w:keepNext/>
      <w:numPr>
        <w:ilvl w:val="2"/>
        <w:numId w:val="1"/>
      </w:numPr>
      <w:spacing w:before="360" w:after="120"/>
      <w:outlineLvl w:val="2"/>
    </w:pPr>
    <w:rPr>
      <w:rFonts w:cs="Arial"/>
      <w:b/>
      <w:bCs/>
      <w:szCs w:val="20"/>
      <w:lang w:val="en-GB"/>
    </w:rPr>
  </w:style>
  <w:style w:type="paragraph" w:styleId="Titre4">
    <w:name w:val="heading 4"/>
    <w:aliases w:val="ECC Heading 4"/>
    <w:basedOn w:val="Normal"/>
    <w:next w:val="ECCParagraph"/>
    <w:link w:val="Titre4Car"/>
    <w:autoRedefine/>
    <w:qFormat/>
    <w:rsid w:val="00C5160B"/>
    <w:pPr>
      <w:numPr>
        <w:ilvl w:val="3"/>
        <w:numId w:val="1"/>
      </w:numPr>
      <w:tabs>
        <w:tab w:val="clear" w:pos="864"/>
        <w:tab w:val="num" w:pos="0"/>
      </w:tabs>
      <w:spacing w:before="360" w:after="120"/>
      <w:ind w:left="0" w:firstLine="0"/>
      <w:outlineLvl w:val="3"/>
    </w:pPr>
    <w:rPr>
      <w:rFonts w:cs="Arial"/>
      <w:bCs/>
      <w:i/>
      <w:color w:val="D2232A"/>
      <w:szCs w:val="26"/>
    </w:rPr>
  </w:style>
  <w:style w:type="paragraph" w:styleId="Titre5">
    <w:name w:val="heading 5"/>
    <w:basedOn w:val="Normal"/>
    <w:next w:val="Normal"/>
    <w:link w:val="Titre5Car"/>
    <w:qFormat/>
    <w:rsid w:val="00C5160B"/>
    <w:pPr>
      <w:numPr>
        <w:ilvl w:val="4"/>
        <w:numId w:val="1"/>
      </w:numPr>
      <w:spacing w:before="240" w:after="60"/>
      <w:outlineLvl w:val="4"/>
    </w:pPr>
    <w:rPr>
      <w:b/>
      <w:bCs/>
      <w:i/>
      <w:iCs/>
      <w:sz w:val="26"/>
      <w:szCs w:val="26"/>
    </w:rPr>
  </w:style>
  <w:style w:type="paragraph" w:styleId="Titre6">
    <w:name w:val="heading 6"/>
    <w:basedOn w:val="Normal"/>
    <w:next w:val="Normal"/>
    <w:link w:val="Titre6Car"/>
    <w:qFormat/>
    <w:rsid w:val="00C5160B"/>
    <w:pPr>
      <w:numPr>
        <w:ilvl w:val="5"/>
        <w:numId w:val="1"/>
      </w:numPr>
      <w:spacing w:before="240" w:after="60"/>
      <w:outlineLvl w:val="5"/>
    </w:pPr>
    <w:rPr>
      <w:b/>
      <w:bCs/>
      <w:sz w:val="22"/>
      <w:szCs w:val="22"/>
    </w:rPr>
  </w:style>
  <w:style w:type="paragraph" w:styleId="Titre7">
    <w:name w:val="heading 7"/>
    <w:basedOn w:val="Normal"/>
    <w:next w:val="Normal"/>
    <w:link w:val="Titre7Car"/>
    <w:qFormat/>
    <w:rsid w:val="00C5160B"/>
    <w:pPr>
      <w:numPr>
        <w:ilvl w:val="6"/>
        <w:numId w:val="1"/>
      </w:numPr>
      <w:spacing w:before="240" w:after="60"/>
      <w:outlineLvl w:val="6"/>
    </w:pPr>
    <w:rPr>
      <w:sz w:val="24"/>
    </w:rPr>
  </w:style>
  <w:style w:type="paragraph" w:styleId="Titre8">
    <w:name w:val="heading 8"/>
    <w:basedOn w:val="Normal"/>
    <w:next w:val="Normal"/>
    <w:link w:val="Titre8Car"/>
    <w:qFormat/>
    <w:rsid w:val="00C5160B"/>
    <w:pPr>
      <w:numPr>
        <w:ilvl w:val="7"/>
        <w:numId w:val="1"/>
      </w:numPr>
      <w:spacing w:before="240" w:after="60"/>
      <w:outlineLvl w:val="7"/>
    </w:pPr>
    <w:rPr>
      <w:i/>
      <w:iCs/>
      <w:sz w:val="24"/>
    </w:rPr>
  </w:style>
  <w:style w:type="paragraph" w:styleId="Titre9">
    <w:name w:val="heading 9"/>
    <w:basedOn w:val="Normal"/>
    <w:next w:val="Normal"/>
    <w:link w:val="Titre9Car"/>
    <w:qFormat/>
    <w:rsid w:val="00C5160B"/>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basedOn w:val="Policepardfaut"/>
    <w:link w:val="Titre1"/>
    <w:uiPriority w:val="99"/>
    <w:rsid w:val="00C5160B"/>
    <w:rPr>
      <w:rFonts w:ascii="Arial" w:eastAsia="Times New Roman" w:hAnsi="Arial" w:cs="Arial"/>
      <w:b/>
      <w:bCs/>
      <w:caps/>
      <w:color w:val="D2232A"/>
      <w:kern w:val="32"/>
      <w:sz w:val="20"/>
      <w:szCs w:val="32"/>
      <w:lang w:val="en-GB"/>
    </w:rPr>
  </w:style>
  <w:style w:type="character" w:customStyle="1" w:styleId="Titre2Car">
    <w:name w:val="Titre 2 Car"/>
    <w:aliases w:val="ECC Heading 2 Car"/>
    <w:basedOn w:val="Policepardfaut"/>
    <w:link w:val="Titre2"/>
    <w:uiPriority w:val="99"/>
    <w:rsid w:val="00C5160B"/>
    <w:rPr>
      <w:rFonts w:ascii="Arial" w:eastAsia="Times New Roman" w:hAnsi="Arial" w:cs="Arial"/>
      <w:b/>
      <w:bCs/>
      <w:iCs/>
      <w:caps/>
      <w:sz w:val="20"/>
      <w:szCs w:val="28"/>
      <w:lang w:val="en-GB"/>
    </w:rPr>
  </w:style>
  <w:style w:type="character" w:customStyle="1" w:styleId="Titre3Car">
    <w:name w:val="Titre 3 Car"/>
    <w:aliases w:val="ECC Heading 3 Car"/>
    <w:basedOn w:val="Policepardfaut"/>
    <w:link w:val="Titre3"/>
    <w:rsid w:val="00C5160B"/>
    <w:rPr>
      <w:rFonts w:ascii="Arial" w:eastAsia="Times New Roman" w:hAnsi="Arial" w:cs="Arial"/>
      <w:b/>
      <w:bCs/>
      <w:sz w:val="20"/>
      <w:szCs w:val="20"/>
      <w:lang w:val="en-GB"/>
    </w:rPr>
  </w:style>
  <w:style w:type="character" w:customStyle="1" w:styleId="Titre4Car">
    <w:name w:val="Titre 4 Car"/>
    <w:aliases w:val="ECC Heading 4 Car"/>
    <w:basedOn w:val="Policepardfaut"/>
    <w:link w:val="Titre4"/>
    <w:uiPriority w:val="99"/>
    <w:rsid w:val="00C5160B"/>
    <w:rPr>
      <w:rFonts w:ascii="Arial" w:eastAsia="Times New Roman" w:hAnsi="Arial" w:cs="Arial"/>
      <w:bCs/>
      <w:i/>
      <w:color w:val="D2232A"/>
      <w:sz w:val="20"/>
      <w:szCs w:val="26"/>
      <w:lang w:val="en-US"/>
    </w:rPr>
  </w:style>
  <w:style w:type="character" w:customStyle="1" w:styleId="Titre5Car">
    <w:name w:val="Titre 5 Car"/>
    <w:basedOn w:val="Policepardfaut"/>
    <w:link w:val="Titre5"/>
    <w:uiPriority w:val="99"/>
    <w:rsid w:val="00C5160B"/>
    <w:rPr>
      <w:rFonts w:ascii="Arial" w:eastAsia="Times New Roman" w:hAnsi="Arial" w:cs="Times New Roman"/>
      <w:b/>
      <w:bCs/>
      <w:i/>
      <w:iCs/>
      <w:sz w:val="26"/>
      <w:szCs w:val="26"/>
      <w:lang w:val="en-US"/>
    </w:rPr>
  </w:style>
  <w:style w:type="character" w:customStyle="1" w:styleId="Titre6Car">
    <w:name w:val="Titre 6 Car"/>
    <w:basedOn w:val="Policepardfaut"/>
    <w:link w:val="Titre6"/>
    <w:uiPriority w:val="99"/>
    <w:rsid w:val="00C5160B"/>
    <w:rPr>
      <w:rFonts w:ascii="Arial" w:eastAsia="Times New Roman" w:hAnsi="Arial" w:cs="Times New Roman"/>
      <w:b/>
      <w:bCs/>
      <w:lang w:val="en-US"/>
    </w:rPr>
  </w:style>
  <w:style w:type="character" w:customStyle="1" w:styleId="Titre7Car">
    <w:name w:val="Titre 7 Car"/>
    <w:basedOn w:val="Policepardfaut"/>
    <w:link w:val="Titre7"/>
    <w:uiPriority w:val="99"/>
    <w:rsid w:val="00C5160B"/>
    <w:rPr>
      <w:rFonts w:ascii="Arial" w:eastAsia="Times New Roman" w:hAnsi="Arial" w:cs="Times New Roman"/>
      <w:sz w:val="24"/>
      <w:szCs w:val="24"/>
      <w:lang w:val="en-US"/>
    </w:rPr>
  </w:style>
  <w:style w:type="character" w:customStyle="1" w:styleId="Titre8Car">
    <w:name w:val="Titre 8 Car"/>
    <w:basedOn w:val="Policepardfaut"/>
    <w:link w:val="Titre8"/>
    <w:uiPriority w:val="99"/>
    <w:rsid w:val="00C5160B"/>
    <w:rPr>
      <w:rFonts w:ascii="Arial" w:eastAsia="Times New Roman" w:hAnsi="Arial" w:cs="Times New Roman"/>
      <w:i/>
      <w:iCs/>
      <w:sz w:val="24"/>
      <w:szCs w:val="24"/>
      <w:lang w:val="en-US"/>
    </w:rPr>
  </w:style>
  <w:style w:type="character" w:customStyle="1" w:styleId="Titre9Car">
    <w:name w:val="Titre 9 Car"/>
    <w:basedOn w:val="Policepardfaut"/>
    <w:link w:val="Titre9"/>
    <w:uiPriority w:val="99"/>
    <w:rsid w:val="00C5160B"/>
    <w:rPr>
      <w:rFonts w:ascii="Arial" w:eastAsia="Times New Roman" w:hAnsi="Arial" w:cs="Arial"/>
      <w:lang w:val="en-US"/>
    </w:rPr>
  </w:style>
  <w:style w:type="paragraph" w:customStyle="1" w:styleId="ECCParagraph">
    <w:name w:val="ECC Paragraph"/>
    <w:basedOn w:val="Normal"/>
    <w:rsid w:val="00C5160B"/>
    <w:pPr>
      <w:spacing w:after="240"/>
      <w:jc w:val="both"/>
    </w:pPr>
    <w:rPr>
      <w:lang w:val="en-GB"/>
    </w:rPr>
  </w:style>
  <w:style w:type="character" w:styleId="Marquedecommentaire">
    <w:name w:val="annotation reference"/>
    <w:basedOn w:val="Policepardfaut"/>
    <w:rsid w:val="00C5160B"/>
    <w:rPr>
      <w:rFonts w:cs="Times New Roman"/>
      <w:sz w:val="16"/>
      <w:szCs w:val="16"/>
    </w:rPr>
  </w:style>
  <w:style w:type="paragraph" w:styleId="Commentaire">
    <w:name w:val="annotation text"/>
    <w:basedOn w:val="Normal"/>
    <w:link w:val="CommentaireCar"/>
    <w:rsid w:val="00C5160B"/>
    <w:rPr>
      <w:rFonts w:ascii="Times New Roman" w:hAnsi="Times New Roman"/>
      <w:szCs w:val="20"/>
      <w:lang w:val="fr-FR" w:eastAsia="fr-FR"/>
    </w:rPr>
  </w:style>
  <w:style w:type="character" w:customStyle="1" w:styleId="CommentaireCar">
    <w:name w:val="Commentaire Car"/>
    <w:basedOn w:val="Policepardfaut"/>
    <w:link w:val="Commentaire"/>
    <w:rsid w:val="00C5160B"/>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C5160B"/>
    <w:rPr>
      <w:rFonts w:ascii="Tahoma" w:hAnsi="Tahoma" w:cs="Tahoma"/>
      <w:sz w:val="16"/>
      <w:szCs w:val="16"/>
    </w:rPr>
  </w:style>
  <w:style w:type="character" w:customStyle="1" w:styleId="TextedebullesCar">
    <w:name w:val="Texte de bulles Car"/>
    <w:basedOn w:val="Policepardfaut"/>
    <w:link w:val="Textedebulles"/>
    <w:uiPriority w:val="99"/>
    <w:semiHidden/>
    <w:rsid w:val="00C5160B"/>
    <w:rPr>
      <w:rFonts w:ascii="Tahoma" w:eastAsia="Times New Roman" w:hAnsi="Tahoma" w:cs="Tahoma"/>
      <w:sz w:val="16"/>
      <w:szCs w:val="16"/>
      <w:lang w:val="en-US"/>
    </w:rPr>
  </w:style>
  <w:style w:type="paragraph" w:customStyle="1" w:styleId="ECCParBulleted">
    <w:name w:val="ECC Par Bulleted"/>
    <w:basedOn w:val="ECCParagraph"/>
    <w:rsid w:val="00C5160B"/>
    <w:pPr>
      <w:numPr>
        <w:numId w:val="2"/>
      </w:numPr>
      <w:spacing w:after="0"/>
    </w:pPr>
  </w:style>
  <w:style w:type="paragraph" w:styleId="Lgende">
    <w:name w:val="caption"/>
    <w:basedOn w:val="Normal"/>
    <w:next w:val="Normal"/>
    <w:unhideWhenUsed/>
    <w:qFormat/>
    <w:rsid w:val="00C5160B"/>
    <w:pPr>
      <w:spacing w:before="240" w:after="240"/>
      <w:jc w:val="center"/>
    </w:pPr>
    <w:rPr>
      <w:b/>
      <w:bCs/>
      <w:color w:val="D2232A"/>
      <w:szCs w:val="20"/>
    </w:rPr>
  </w:style>
  <w:style w:type="paragraph" w:customStyle="1" w:styleId="ECCFootnote">
    <w:name w:val="ECC Footnote"/>
    <w:basedOn w:val="Normal"/>
    <w:autoRedefine/>
    <w:rsid w:val="00C5160B"/>
    <w:pPr>
      <w:ind w:left="454" w:hanging="454"/>
    </w:pPr>
    <w:rPr>
      <w:sz w:val="16"/>
    </w:rPr>
  </w:style>
  <w:style w:type="character" w:styleId="Appelnotedebasdep">
    <w:name w:val="footnote reference"/>
    <w:aliases w:val="Appel note de bas de p,Footnote Reference/,Footnote"/>
    <w:basedOn w:val="Policepardfaut"/>
    <w:semiHidden/>
    <w:rsid w:val="00C5160B"/>
    <w:rPr>
      <w:vertAlign w:val="superscript"/>
    </w:rPr>
  </w:style>
  <w:style w:type="paragraph" w:styleId="NormalWeb">
    <w:name w:val="Normal (Web)"/>
    <w:basedOn w:val="Normal"/>
    <w:semiHidden/>
    <w:unhideWhenUsed/>
    <w:rsid w:val="0036259D"/>
    <w:pPr>
      <w:spacing w:before="100" w:beforeAutospacing="1" w:after="100" w:afterAutospacing="1"/>
    </w:pPr>
    <w:rPr>
      <w:rFonts w:ascii="Times New Roman" w:eastAsiaTheme="minorEastAsia" w:hAnsi="Times New Roman"/>
      <w:sz w:val="24"/>
      <w:lang w:val="da-DK" w:eastAsia="da-DK"/>
    </w:rPr>
  </w:style>
  <w:style w:type="paragraph" w:customStyle="1" w:styleId="Default">
    <w:name w:val="Default"/>
    <w:rsid w:val="0036259D"/>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Objetducommentaire">
    <w:name w:val="annotation subject"/>
    <w:basedOn w:val="Commentaire"/>
    <w:next w:val="Commentaire"/>
    <w:link w:val="ObjetducommentaireCar"/>
    <w:uiPriority w:val="99"/>
    <w:semiHidden/>
    <w:unhideWhenUsed/>
    <w:rsid w:val="00DC315C"/>
    <w:rPr>
      <w:rFonts w:ascii="Arial" w:hAnsi="Arial"/>
      <w:b/>
      <w:bCs/>
      <w:lang w:val="en-US" w:eastAsia="en-US"/>
    </w:rPr>
  </w:style>
  <w:style w:type="character" w:customStyle="1" w:styleId="ObjetducommentaireCar">
    <w:name w:val="Objet du commentaire Car"/>
    <w:basedOn w:val="CommentaireCar"/>
    <w:link w:val="Objetducommentaire"/>
    <w:uiPriority w:val="99"/>
    <w:semiHidden/>
    <w:rsid w:val="00DC315C"/>
    <w:rPr>
      <w:rFonts w:ascii="Arial" w:eastAsia="Times New Roman" w:hAnsi="Arial" w:cs="Times New Roman"/>
      <w:b/>
      <w:bCs/>
      <w:sz w:val="20"/>
      <w:szCs w:val="20"/>
      <w:lang w:val="en-US" w:eastAsia="fr-FR"/>
    </w:rPr>
  </w:style>
  <w:style w:type="paragraph" w:styleId="Notedebasdepage">
    <w:name w:val="footnote text"/>
    <w:basedOn w:val="Normal"/>
    <w:link w:val="NotedebasdepageCar"/>
    <w:uiPriority w:val="99"/>
    <w:semiHidden/>
    <w:unhideWhenUsed/>
    <w:rsid w:val="001A59AD"/>
    <w:rPr>
      <w:szCs w:val="20"/>
    </w:rPr>
  </w:style>
  <w:style w:type="character" w:customStyle="1" w:styleId="NotedebasdepageCar">
    <w:name w:val="Note de bas de page Car"/>
    <w:basedOn w:val="Policepardfaut"/>
    <w:link w:val="Notedebasdepage"/>
    <w:uiPriority w:val="99"/>
    <w:semiHidden/>
    <w:rsid w:val="001A59AD"/>
    <w:rPr>
      <w:rFonts w:ascii="Arial" w:eastAsia="Times New Roman" w:hAnsi="Arial"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60B"/>
    <w:pPr>
      <w:spacing w:after="0" w:line="240" w:lineRule="auto"/>
    </w:pPr>
    <w:rPr>
      <w:rFonts w:ascii="Arial" w:eastAsia="Times New Roman" w:hAnsi="Arial" w:cs="Times New Roman"/>
      <w:sz w:val="20"/>
      <w:szCs w:val="24"/>
      <w:lang w:val="en-US"/>
    </w:rPr>
  </w:style>
  <w:style w:type="paragraph" w:styleId="Titre1">
    <w:name w:val="heading 1"/>
    <w:aliases w:val="ECC Heading 1"/>
    <w:basedOn w:val="Normal"/>
    <w:next w:val="ECCParagraph"/>
    <w:link w:val="Titre1Car"/>
    <w:autoRedefine/>
    <w:qFormat/>
    <w:rsid w:val="00C5160B"/>
    <w:pPr>
      <w:numPr>
        <w:numId w:val="1"/>
      </w:numPr>
      <w:spacing w:before="600" w:after="240"/>
      <w:ind w:left="431" w:hanging="431"/>
      <w:outlineLvl w:val="0"/>
    </w:pPr>
    <w:rPr>
      <w:rFonts w:cs="Arial"/>
      <w:b/>
      <w:bCs/>
      <w:caps/>
      <w:color w:val="D2232A"/>
      <w:kern w:val="32"/>
      <w:szCs w:val="32"/>
      <w:lang w:val="en-GB"/>
    </w:rPr>
  </w:style>
  <w:style w:type="paragraph" w:styleId="Titre2">
    <w:name w:val="heading 2"/>
    <w:aliases w:val="ECC Heading 2"/>
    <w:basedOn w:val="Normal"/>
    <w:next w:val="ECCParagraph"/>
    <w:link w:val="Titre2Car"/>
    <w:autoRedefine/>
    <w:qFormat/>
    <w:rsid w:val="00C5160B"/>
    <w:pPr>
      <w:keepNext/>
      <w:numPr>
        <w:ilvl w:val="1"/>
        <w:numId w:val="1"/>
      </w:numPr>
      <w:spacing w:before="480" w:after="240"/>
      <w:outlineLvl w:val="1"/>
    </w:pPr>
    <w:rPr>
      <w:rFonts w:cs="Arial"/>
      <w:b/>
      <w:bCs/>
      <w:iCs/>
      <w:caps/>
      <w:szCs w:val="28"/>
      <w:lang w:val="en-GB"/>
    </w:rPr>
  </w:style>
  <w:style w:type="paragraph" w:styleId="Titre3">
    <w:name w:val="heading 3"/>
    <w:aliases w:val="ECC Heading 3"/>
    <w:basedOn w:val="Normal"/>
    <w:next w:val="ECCParagraph"/>
    <w:link w:val="Titre3Car"/>
    <w:autoRedefine/>
    <w:qFormat/>
    <w:rsid w:val="00C5160B"/>
    <w:pPr>
      <w:keepNext/>
      <w:numPr>
        <w:ilvl w:val="2"/>
        <w:numId w:val="1"/>
      </w:numPr>
      <w:spacing w:before="360" w:after="120"/>
      <w:outlineLvl w:val="2"/>
    </w:pPr>
    <w:rPr>
      <w:rFonts w:cs="Arial"/>
      <w:b/>
      <w:bCs/>
      <w:szCs w:val="20"/>
      <w:lang w:val="en-GB"/>
    </w:rPr>
  </w:style>
  <w:style w:type="paragraph" w:styleId="Titre4">
    <w:name w:val="heading 4"/>
    <w:aliases w:val="ECC Heading 4"/>
    <w:basedOn w:val="Normal"/>
    <w:next w:val="ECCParagraph"/>
    <w:link w:val="Titre4Car"/>
    <w:autoRedefine/>
    <w:qFormat/>
    <w:rsid w:val="00C5160B"/>
    <w:pPr>
      <w:numPr>
        <w:ilvl w:val="3"/>
        <w:numId w:val="1"/>
      </w:numPr>
      <w:tabs>
        <w:tab w:val="clear" w:pos="864"/>
        <w:tab w:val="num" w:pos="0"/>
      </w:tabs>
      <w:spacing w:before="360" w:after="120"/>
      <w:ind w:left="0" w:firstLine="0"/>
      <w:outlineLvl w:val="3"/>
    </w:pPr>
    <w:rPr>
      <w:rFonts w:cs="Arial"/>
      <w:bCs/>
      <w:i/>
      <w:color w:val="D2232A"/>
      <w:szCs w:val="26"/>
    </w:rPr>
  </w:style>
  <w:style w:type="paragraph" w:styleId="Titre5">
    <w:name w:val="heading 5"/>
    <w:basedOn w:val="Normal"/>
    <w:next w:val="Normal"/>
    <w:link w:val="Titre5Car"/>
    <w:qFormat/>
    <w:rsid w:val="00C5160B"/>
    <w:pPr>
      <w:numPr>
        <w:ilvl w:val="4"/>
        <w:numId w:val="1"/>
      </w:numPr>
      <w:spacing w:before="240" w:after="60"/>
      <w:outlineLvl w:val="4"/>
    </w:pPr>
    <w:rPr>
      <w:b/>
      <w:bCs/>
      <w:i/>
      <w:iCs/>
      <w:sz w:val="26"/>
      <w:szCs w:val="26"/>
    </w:rPr>
  </w:style>
  <w:style w:type="paragraph" w:styleId="Titre6">
    <w:name w:val="heading 6"/>
    <w:basedOn w:val="Normal"/>
    <w:next w:val="Normal"/>
    <w:link w:val="Titre6Car"/>
    <w:qFormat/>
    <w:rsid w:val="00C5160B"/>
    <w:pPr>
      <w:numPr>
        <w:ilvl w:val="5"/>
        <w:numId w:val="1"/>
      </w:numPr>
      <w:spacing w:before="240" w:after="60"/>
      <w:outlineLvl w:val="5"/>
    </w:pPr>
    <w:rPr>
      <w:b/>
      <w:bCs/>
      <w:sz w:val="22"/>
      <w:szCs w:val="22"/>
    </w:rPr>
  </w:style>
  <w:style w:type="paragraph" w:styleId="Titre7">
    <w:name w:val="heading 7"/>
    <w:basedOn w:val="Normal"/>
    <w:next w:val="Normal"/>
    <w:link w:val="Titre7Car"/>
    <w:qFormat/>
    <w:rsid w:val="00C5160B"/>
    <w:pPr>
      <w:numPr>
        <w:ilvl w:val="6"/>
        <w:numId w:val="1"/>
      </w:numPr>
      <w:spacing w:before="240" w:after="60"/>
      <w:outlineLvl w:val="6"/>
    </w:pPr>
    <w:rPr>
      <w:sz w:val="24"/>
    </w:rPr>
  </w:style>
  <w:style w:type="paragraph" w:styleId="Titre8">
    <w:name w:val="heading 8"/>
    <w:basedOn w:val="Normal"/>
    <w:next w:val="Normal"/>
    <w:link w:val="Titre8Car"/>
    <w:qFormat/>
    <w:rsid w:val="00C5160B"/>
    <w:pPr>
      <w:numPr>
        <w:ilvl w:val="7"/>
        <w:numId w:val="1"/>
      </w:numPr>
      <w:spacing w:before="240" w:after="60"/>
      <w:outlineLvl w:val="7"/>
    </w:pPr>
    <w:rPr>
      <w:i/>
      <w:iCs/>
      <w:sz w:val="24"/>
    </w:rPr>
  </w:style>
  <w:style w:type="paragraph" w:styleId="Titre9">
    <w:name w:val="heading 9"/>
    <w:basedOn w:val="Normal"/>
    <w:next w:val="Normal"/>
    <w:link w:val="Titre9Car"/>
    <w:qFormat/>
    <w:rsid w:val="00C5160B"/>
    <w:pPr>
      <w:numPr>
        <w:ilvl w:val="8"/>
        <w:numId w:val="1"/>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ECC Heading 1 Car"/>
    <w:basedOn w:val="Policepardfaut"/>
    <w:link w:val="Titre1"/>
    <w:uiPriority w:val="99"/>
    <w:rsid w:val="00C5160B"/>
    <w:rPr>
      <w:rFonts w:ascii="Arial" w:eastAsia="Times New Roman" w:hAnsi="Arial" w:cs="Arial"/>
      <w:b/>
      <w:bCs/>
      <w:caps/>
      <w:color w:val="D2232A"/>
      <w:kern w:val="32"/>
      <w:sz w:val="20"/>
      <w:szCs w:val="32"/>
      <w:lang w:val="en-GB"/>
    </w:rPr>
  </w:style>
  <w:style w:type="character" w:customStyle="1" w:styleId="Titre2Car">
    <w:name w:val="Titre 2 Car"/>
    <w:aliases w:val="ECC Heading 2 Car"/>
    <w:basedOn w:val="Policepardfaut"/>
    <w:link w:val="Titre2"/>
    <w:uiPriority w:val="99"/>
    <w:rsid w:val="00C5160B"/>
    <w:rPr>
      <w:rFonts w:ascii="Arial" w:eastAsia="Times New Roman" w:hAnsi="Arial" w:cs="Arial"/>
      <w:b/>
      <w:bCs/>
      <w:iCs/>
      <w:caps/>
      <w:sz w:val="20"/>
      <w:szCs w:val="28"/>
      <w:lang w:val="en-GB"/>
    </w:rPr>
  </w:style>
  <w:style w:type="character" w:customStyle="1" w:styleId="Titre3Car">
    <w:name w:val="Titre 3 Car"/>
    <w:aliases w:val="ECC Heading 3 Car"/>
    <w:basedOn w:val="Policepardfaut"/>
    <w:link w:val="Titre3"/>
    <w:rsid w:val="00C5160B"/>
    <w:rPr>
      <w:rFonts w:ascii="Arial" w:eastAsia="Times New Roman" w:hAnsi="Arial" w:cs="Arial"/>
      <w:b/>
      <w:bCs/>
      <w:sz w:val="20"/>
      <w:szCs w:val="20"/>
      <w:lang w:val="en-GB"/>
    </w:rPr>
  </w:style>
  <w:style w:type="character" w:customStyle="1" w:styleId="Titre4Car">
    <w:name w:val="Titre 4 Car"/>
    <w:aliases w:val="ECC Heading 4 Car"/>
    <w:basedOn w:val="Policepardfaut"/>
    <w:link w:val="Titre4"/>
    <w:uiPriority w:val="99"/>
    <w:rsid w:val="00C5160B"/>
    <w:rPr>
      <w:rFonts w:ascii="Arial" w:eastAsia="Times New Roman" w:hAnsi="Arial" w:cs="Arial"/>
      <w:bCs/>
      <w:i/>
      <w:color w:val="D2232A"/>
      <w:sz w:val="20"/>
      <w:szCs w:val="26"/>
      <w:lang w:val="en-US"/>
    </w:rPr>
  </w:style>
  <w:style w:type="character" w:customStyle="1" w:styleId="Titre5Car">
    <w:name w:val="Titre 5 Car"/>
    <w:basedOn w:val="Policepardfaut"/>
    <w:link w:val="Titre5"/>
    <w:uiPriority w:val="99"/>
    <w:rsid w:val="00C5160B"/>
    <w:rPr>
      <w:rFonts w:ascii="Arial" w:eastAsia="Times New Roman" w:hAnsi="Arial" w:cs="Times New Roman"/>
      <w:b/>
      <w:bCs/>
      <w:i/>
      <w:iCs/>
      <w:sz w:val="26"/>
      <w:szCs w:val="26"/>
      <w:lang w:val="en-US"/>
    </w:rPr>
  </w:style>
  <w:style w:type="character" w:customStyle="1" w:styleId="Titre6Car">
    <w:name w:val="Titre 6 Car"/>
    <w:basedOn w:val="Policepardfaut"/>
    <w:link w:val="Titre6"/>
    <w:uiPriority w:val="99"/>
    <w:rsid w:val="00C5160B"/>
    <w:rPr>
      <w:rFonts w:ascii="Arial" w:eastAsia="Times New Roman" w:hAnsi="Arial" w:cs="Times New Roman"/>
      <w:b/>
      <w:bCs/>
      <w:lang w:val="en-US"/>
    </w:rPr>
  </w:style>
  <w:style w:type="character" w:customStyle="1" w:styleId="Titre7Car">
    <w:name w:val="Titre 7 Car"/>
    <w:basedOn w:val="Policepardfaut"/>
    <w:link w:val="Titre7"/>
    <w:uiPriority w:val="99"/>
    <w:rsid w:val="00C5160B"/>
    <w:rPr>
      <w:rFonts w:ascii="Arial" w:eastAsia="Times New Roman" w:hAnsi="Arial" w:cs="Times New Roman"/>
      <w:sz w:val="24"/>
      <w:szCs w:val="24"/>
      <w:lang w:val="en-US"/>
    </w:rPr>
  </w:style>
  <w:style w:type="character" w:customStyle="1" w:styleId="Titre8Car">
    <w:name w:val="Titre 8 Car"/>
    <w:basedOn w:val="Policepardfaut"/>
    <w:link w:val="Titre8"/>
    <w:uiPriority w:val="99"/>
    <w:rsid w:val="00C5160B"/>
    <w:rPr>
      <w:rFonts w:ascii="Arial" w:eastAsia="Times New Roman" w:hAnsi="Arial" w:cs="Times New Roman"/>
      <w:i/>
      <w:iCs/>
      <w:sz w:val="24"/>
      <w:szCs w:val="24"/>
      <w:lang w:val="en-US"/>
    </w:rPr>
  </w:style>
  <w:style w:type="character" w:customStyle="1" w:styleId="Titre9Car">
    <w:name w:val="Titre 9 Car"/>
    <w:basedOn w:val="Policepardfaut"/>
    <w:link w:val="Titre9"/>
    <w:uiPriority w:val="99"/>
    <w:rsid w:val="00C5160B"/>
    <w:rPr>
      <w:rFonts w:ascii="Arial" w:eastAsia="Times New Roman" w:hAnsi="Arial" w:cs="Arial"/>
      <w:lang w:val="en-US"/>
    </w:rPr>
  </w:style>
  <w:style w:type="paragraph" w:customStyle="1" w:styleId="ECCParagraph">
    <w:name w:val="ECC Paragraph"/>
    <w:basedOn w:val="Normal"/>
    <w:rsid w:val="00C5160B"/>
    <w:pPr>
      <w:spacing w:after="240"/>
      <w:jc w:val="both"/>
    </w:pPr>
    <w:rPr>
      <w:lang w:val="en-GB"/>
    </w:rPr>
  </w:style>
  <w:style w:type="character" w:styleId="Marquedecommentaire">
    <w:name w:val="annotation reference"/>
    <w:basedOn w:val="Policepardfaut"/>
    <w:rsid w:val="00C5160B"/>
    <w:rPr>
      <w:rFonts w:cs="Times New Roman"/>
      <w:sz w:val="16"/>
      <w:szCs w:val="16"/>
    </w:rPr>
  </w:style>
  <w:style w:type="paragraph" w:styleId="Commentaire">
    <w:name w:val="annotation text"/>
    <w:basedOn w:val="Normal"/>
    <w:link w:val="CommentaireCar"/>
    <w:rsid w:val="00C5160B"/>
    <w:rPr>
      <w:rFonts w:ascii="Times New Roman" w:hAnsi="Times New Roman"/>
      <w:szCs w:val="20"/>
      <w:lang w:val="fr-FR" w:eastAsia="fr-FR"/>
    </w:rPr>
  </w:style>
  <w:style w:type="character" w:customStyle="1" w:styleId="CommentaireCar">
    <w:name w:val="Commentaire Car"/>
    <w:basedOn w:val="Policepardfaut"/>
    <w:link w:val="Commentaire"/>
    <w:rsid w:val="00C5160B"/>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C5160B"/>
    <w:rPr>
      <w:rFonts w:ascii="Tahoma" w:hAnsi="Tahoma" w:cs="Tahoma"/>
      <w:sz w:val="16"/>
      <w:szCs w:val="16"/>
    </w:rPr>
  </w:style>
  <w:style w:type="character" w:customStyle="1" w:styleId="TextedebullesCar">
    <w:name w:val="Texte de bulles Car"/>
    <w:basedOn w:val="Policepardfaut"/>
    <w:link w:val="Textedebulles"/>
    <w:uiPriority w:val="99"/>
    <w:semiHidden/>
    <w:rsid w:val="00C5160B"/>
    <w:rPr>
      <w:rFonts w:ascii="Tahoma" w:eastAsia="Times New Roman" w:hAnsi="Tahoma" w:cs="Tahoma"/>
      <w:sz w:val="16"/>
      <w:szCs w:val="16"/>
      <w:lang w:val="en-US"/>
    </w:rPr>
  </w:style>
  <w:style w:type="paragraph" w:customStyle="1" w:styleId="ECCParBulleted">
    <w:name w:val="ECC Par Bulleted"/>
    <w:basedOn w:val="ECCParagraph"/>
    <w:rsid w:val="00C5160B"/>
    <w:pPr>
      <w:numPr>
        <w:numId w:val="2"/>
      </w:numPr>
      <w:spacing w:after="0"/>
    </w:pPr>
  </w:style>
  <w:style w:type="paragraph" w:styleId="Lgende">
    <w:name w:val="caption"/>
    <w:basedOn w:val="Normal"/>
    <w:next w:val="Normal"/>
    <w:unhideWhenUsed/>
    <w:qFormat/>
    <w:rsid w:val="00C5160B"/>
    <w:pPr>
      <w:spacing w:before="240" w:after="240"/>
      <w:jc w:val="center"/>
    </w:pPr>
    <w:rPr>
      <w:b/>
      <w:bCs/>
      <w:color w:val="D2232A"/>
      <w:szCs w:val="20"/>
    </w:rPr>
  </w:style>
  <w:style w:type="paragraph" w:customStyle="1" w:styleId="ECCFootnote">
    <w:name w:val="ECC Footnote"/>
    <w:basedOn w:val="Normal"/>
    <w:autoRedefine/>
    <w:rsid w:val="00C5160B"/>
    <w:pPr>
      <w:ind w:left="454" w:hanging="454"/>
    </w:pPr>
    <w:rPr>
      <w:sz w:val="16"/>
    </w:rPr>
  </w:style>
  <w:style w:type="character" w:styleId="Appelnotedebasdep">
    <w:name w:val="footnote reference"/>
    <w:aliases w:val="Appel note de bas de p,Footnote Reference/,Footnote"/>
    <w:basedOn w:val="Policepardfaut"/>
    <w:semiHidden/>
    <w:rsid w:val="00C5160B"/>
    <w:rPr>
      <w:vertAlign w:val="superscript"/>
    </w:rPr>
  </w:style>
  <w:style w:type="paragraph" w:styleId="NormalWeb">
    <w:name w:val="Normal (Web)"/>
    <w:basedOn w:val="Normal"/>
    <w:semiHidden/>
    <w:unhideWhenUsed/>
    <w:rsid w:val="0036259D"/>
    <w:pPr>
      <w:spacing w:before="100" w:beforeAutospacing="1" w:after="100" w:afterAutospacing="1"/>
    </w:pPr>
    <w:rPr>
      <w:rFonts w:ascii="Times New Roman" w:eastAsiaTheme="minorEastAsia" w:hAnsi="Times New Roman"/>
      <w:sz w:val="24"/>
      <w:lang w:val="da-DK" w:eastAsia="da-DK"/>
    </w:rPr>
  </w:style>
  <w:style w:type="paragraph" w:customStyle="1" w:styleId="Default">
    <w:name w:val="Default"/>
    <w:rsid w:val="0036259D"/>
    <w:pPr>
      <w:autoSpaceDE w:val="0"/>
      <w:autoSpaceDN w:val="0"/>
      <w:adjustRightInd w:val="0"/>
      <w:spacing w:after="0" w:line="240" w:lineRule="auto"/>
    </w:pPr>
    <w:rPr>
      <w:rFonts w:ascii="Arial" w:eastAsia="Times New Roman" w:hAnsi="Arial" w:cs="Arial"/>
      <w:color w:val="000000"/>
      <w:sz w:val="24"/>
      <w:szCs w:val="24"/>
      <w:lang w:val="en-US"/>
    </w:rPr>
  </w:style>
  <w:style w:type="paragraph" w:styleId="Objetducommentaire">
    <w:name w:val="annotation subject"/>
    <w:basedOn w:val="Commentaire"/>
    <w:next w:val="Commentaire"/>
    <w:link w:val="ObjetducommentaireCar"/>
    <w:uiPriority w:val="99"/>
    <w:semiHidden/>
    <w:unhideWhenUsed/>
    <w:rsid w:val="00DC315C"/>
    <w:rPr>
      <w:rFonts w:ascii="Arial" w:hAnsi="Arial"/>
      <w:b/>
      <w:bCs/>
      <w:lang w:val="en-US" w:eastAsia="en-US"/>
    </w:rPr>
  </w:style>
  <w:style w:type="character" w:customStyle="1" w:styleId="ObjetducommentaireCar">
    <w:name w:val="Objet du commentaire Car"/>
    <w:basedOn w:val="CommentaireCar"/>
    <w:link w:val="Objetducommentaire"/>
    <w:uiPriority w:val="99"/>
    <w:semiHidden/>
    <w:rsid w:val="00DC315C"/>
    <w:rPr>
      <w:rFonts w:ascii="Arial" w:eastAsia="Times New Roman" w:hAnsi="Arial" w:cs="Times New Roman"/>
      <w:b/>
      <w:bCs/>
      <w:sz w:val="20"/>
      <w:szCs w:val="20"/>
      <w:lang w:val="en-US" w:eastAsia="fr-FR"/>
    </w:rPr>
  </w:style>
  <w:style w:type="paragraph" w:styleId="Notedebasdepage">
    <w:name w:val="footnote text"/>
    <w:basedOn w:val="Normal"/>
    <w:link w:val="NotedebasdepageCar"/>
    <w:uiPriority w:val="99"/>
    <w:semiHidden/>
    <w:unhideWhenUsed/>
    <w:rsid w:val="001A59AD"/>
    <w:rPr>
      <w:szCs w:val="20"/>
    </w:rPr>
  </w:style>
  <w:style w:type="character" w:customStyle="1" w:styleId="NotedebasdepageCar">
    <w:name w:val="Note de bas de page Car"/>
    <w:basedOn w:val="Policepardfaut"/>
    <w:link w:val="Notedebasdepage"/>
    <w:uiPriority w:val="99"/>
    <w:semiHidden/>
    <w:rsid w:val="001A59AD"/>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24166">
      <w:bodyDiv w:val="1"/>
      <w:marLeft w:val="0"/>
      <w:marRight w:val="0"/>
      <w:marTop w:val="0"/>
      <w:marBottom w:val="0"/>
      <w:divBdr>
        <w:top w:val="none" w:sz="0" w:space="0" w:color="auto"/>
        <w:left w:val="none" w:sz="0" w:space="0" w:color="auto"/>
        <w:bottom w:val="none" w:sz="0" w:space="0" w:color="auto"/>
        <w:right w:val="none" w:sz="0" w:space="0" w:color="auto"/>
      </w:divBdr>
    </w:div>
    <w:div w:id="1911377631">
      <w:bodyDiv w:val="1"/>
      <w:marLeft w:val="0"/>
      <w:marRight w:val="0"/>
      <w:marTop w:val="0"/>
      <w:marBottom w:val="0"/>
      <w:divBdr>
        <w:top w:val="none" w:sz="0" w:space="0" w:color="auto"/>
        <w:left w:val="none" w:sz="0" w:space="0" w:color="auto"/>
        <w:bottom w:val="none" w:sz="0" w:space="0" w:color="auto"/>
        <w:right w:val="none" w:sz="0" w:space="0" w:color="auto"/>
      </w:divBdr>
    </w:div>
    <w:div w:id="2112698175">
      <w:bodyDiv w:val="1"/>
      <w:marLeft w:val="0"/>
      <w:marRight w:val="0"/>
      <w:marTop w:val="0"/>
      <w:marBottom w:val="0"/>
      <w:divBdr>
        <w:top w:val="none" w:sz="0" w:space="0" w:color="auto"/>
        <w:left w:val="none" w:sz="0" w:space="0" w:color="auto"/>
        <w:bottom w:val="none" w:sz="0" w:space="0" w:color="auto"/>
        <w:right w:val="none" w:sz="0" w:space="0" w:color="auto"/>
      </w:divBdr>
    </w:div>
    <w:div w:id="212430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14720-6C98-4B7A-903D-DD069633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1741</Words>
  <Characters>9576</Characters>
  <Application>Microsoft Office Word</Application>
  <DocSecurity>0</DocSecurity>
  <Lines>79</Lines>
  <Paragraphs>22</Paragraphs>
  <ScaleCrop>false</ScaleCrop>
  <HeadingPairs>
    <vt:vector size="2" baseType="variant">
      <vt:variant>
        <vt:lpstr>Titre</vt:lpstr>
      </vt:variant>
      <vt:variant>
        <vt:i4>1</vt:i4>
      </vt:variant>
    </vt:vector>
  </HeadingPairs>
  <TitlesOfParts>
    <vt:vector size="1" baseType="lpstr">
      <vt:lpstr/>
    </vt:vector>
  </TitlesOfParts>
  <Company>ANFR</Company>
  <LinksUpToDate>false</LinksUpToDate>
  <CharactersWithSpaces>11295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DESCHAMPS Benoist</cp:lastModifiedBy>
  <cp:revision>2</cp:revision>
  <dcterms:created xsi:type="dcterms:W3CDTF">2012-03-09T17:18:00Z</dcterms:created>
  <dcterms:modified xsi:type="dcterms:W3CDTF">2012-03-09T17:18:00Z</dcterms:modified>
</cp:coreProperties>
</file>